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C0" w:rsidRPr="009E2812" w:rsidRDefault="00B32EC0" w:rsidP="002C7EC4">
      <w:pPr>
        <w:jc w:val="both"/>
        <w:rPr>
          <w:lang w:val="uk-UA"/>
        </w:rPr>
      </w:pPr>
    </w:p>
    <w:p w:rsidR="00B32EC0" w:rsidRPr="009E2812" w:rsidRDefault="00B32EC0" w:rsidP="002C7EC4">
      <w:pPr>
        <w:jc w:val="both"/>
        <w:rPr>
          <w:lang w:val="uk-UA"/>
        </w:rPr>
      </w:pPr>
    </w:p>
    <w:p w:rsidR="00B32EC0" w:rsidRPr="009E2812" w:rsidRDefault="00B32EC0" w:rsidP="002C7EC4">
      <w:pPr>
        <w:jc w:val="both"/>
        <w:rPr>
          <w:lang w:val="uk-UA"/>
        </w:rPr>
      </w:pPr>
    </w:p>
    <w:p w:rsidR="00B32EC0" w:rsidRPr="009E2812" w:rsidRDefault="00B32EC0" w:rsidP="002C7EC4">
      <w:pPr>
        <w:jc w:val="both"/>
        <w:rPr>
          <w:lang w:val="uk-UA"/>
        </w:rPr>
      </w:pPr>
    </w:p>
    <w:p w:rsidR="00B32EC0" w:rsidRPr="009E2812" w:rsidRDefault="00B32EC0" w:rsidP="002C7EC4">
      <w:pPr>
        <w:jc w:val="both"/>
        <w:rPr>
          <w:lang w:val="uk-UA"/>
        </w:rPr>
      </w:pPr>
    </w:p>
    <w:p w:rsidR="00B32EC0" w:rsidRPr="009E2812" w:rsidRDefault="00B32EC0" w:rsidP="002C7EC4">
      <w:pPr>
        <w:jc w:val="both"/>
        <w:rPr>
          <w:lang w:val="uk-UA"/>
        </w:rPr>
      </w:pPr>
    </w:p>
    <w:p w:rsidR="00B32EC0" w:rsidRPr="009E2812" w:rsidRDefault="00B32EC0" w:rsidP="002C7EC4">
      <w:pPr>
        <w:jc w:val="both"/>
        <w:rPr>
          <w:lang w:val="uk-UA"/>
        </w:rPr>
      </w:pPr>
    </w:p>
    <w:p w:rsidR="00B32EC0" w:rsidRPr="009E2812" w:rsidRDefault="00B32EC0" w:rsidP="002C7EC4">
      <w:pPr>
        <w:jc w:val="both"/>
        <w:rPr>
          <w:lang w:val="uk-UA"/>
        </w:rPr>
      </w:pPr>
    </w:p>
    <w:p w:rsidR="00B32EC0" w:rsidRPr="009E2812" w:rsidRDefault="00B32EC0" w:rsidP="002C7EC4">
      <w:pPr>
        <w:jc w:val="both"/>
        <w:rPr>
          <w:lang w:val="uk-UA"/>
        </w:rPr>
      </w:pPr>
    </w:p>
    <w:p w:rsidR="00B32EC0" w:rsidRPr="009E2812" w:rsidRDefault="00B32EC0" w:rsidP="002C7EC4">
      <w:pPr>
        <w:jc w:val="both"/>
        <w:rPr>
          <w:lang w:val="uk-UA"/>
        </w:rPr>
      </w:pPr>
    </w:p>
    <w:p w:rsidR="00B32EC0" w:rsidRPr="009E2812" w:rsidRDefault="00B32EC0" w:rsidP="002C7EC4">
      <w:pPr>
        <w:jc w:val="both"/>
        <w:rPr>
          <w:lang w:val="uk-UA"/>
        </w:rPr>
      </w:pPr>
    </w:p>
    <w:p w:rsidR="00B32EC0" w:rsidRPr="009E2812" w:rsidRDefault="00B32EC0" w:rsidP="002C7EC4">
      <w:pPr>
        <w:jc w:val="both"/>
        <w:rPr>
          <w:lang w:val="uk-UA"/>
        </w:rPr>
      </w:pPr>
    </w:p>
    <w:p w:rsidR="00B32EC0" w:rsidRPr="009E2812" w:rsidRDefault="00B32EC0" w:rsidP="002C7EC4">
      <w:pPr>
        <w:jc w:val="both"/>
        <w:rPr>
          <w:lang w:val="uk-UA"/>
        </w:rPr>
      </w:pPr>
    </w:p>
    <w:p w:rsidR="00B32EC0" w:rsidRPr="009E2812" w:rsidRDefault="00B32EC0" w:rsidP="002C7EC4">
      <w:pPr>
        <w:jc w:val="both"/>
        <w:rPr>
          <w:lang w:val="uk-UA"/>
        </w:rPr>
      </w:pPr>
    </w:p>
    <w:tbl>
      <w:tblPr>
        <w:tblW w:w="0" w:type="auto"/>
        <w:tblInd w:w="4644" w:type="dxa"/>
        <w:tblLook w:val="00A0"/>
      </w:tblPr>
      <w:tblGrid>
        <w:gridCol w:w="5209"/>
      </w:tblGrid>
      <w:tr w:rsidR="00B32EC0" w:rsidRPr="009E2812" w:rsidTr="00275793">
        <w:tc>
          <w:tcPr>
            <w:tcW w:w="5351" w:type="dxa"/>
          </w:tcPr>
          <w:p w:rsidR="00B32EC0" w:rsidRPr="009E2812" w:rsidRDefault="00B32EC0" w:rsidP="002C7EC4">
            <w:pPr>
              <w:rPr>
                <w:b/>
                <w:i/>
                <w:sz w:val="18"/>
                <w:szCs w:val="18"/>
                <w:lang w:val="uk-UA"/>
              </w:rPr>
            </w:pPr>
          </w:p>
          <w:p w:rsidR="00B32EC0" w:rsidRPr="009E2812" w:rsidRDefault="00B32EC0" w:rsidP="002C7EC4">
            <w:pPr>
              <w:widowControl w:val="0"/>
              <w:ind w:firstLine="360"/>
              <w:jc w:val="right"/>
              <w:rPr>
                <w:b/>
                <w:i/>
                <w:snapToGrid w:val="0"/>
                <w:sz w:val="24"/>
                <w:szCs w:val="24"/>
                <w:lang w:val="uk-UA"/>
              </w:rPr>
            </w:pPr>
            <w:r w:rsidRPr="009E2812">
              <w:rPr>
                <w:b/>
                <w:i/>
                <w:snapToGrid w:val="0"/>
                <w:sz w:val="24"/>
                <w:szCs w:val="24"/>
                <w:lang w:val="uk-UA"/>
              </w:rPr>
              <w:t>Національній комісії,</w:t>
            </w:r>
          </w:p>
          <w:p w:rsidR="00B32EC0" w:rsidRPr="009E2812" w:rsidRDefault="00B32EC0" w:rsidP="002C7EC4">
            <w:pPr>
              <w:widowControl w:val="0"/>
              <w:ind w:firstLine="360"/>
              <w:jc w:val="right"/>
              <w:rPr>
                <w:b/>
                <w:i/>
                <w:snapToGrid w:val="0"/>
                <w:sz w:val="24"/>
                <w:szCs w:val="24"/>
                <w:lang w:val="uk-UA"/>
              </w:rPr>
            </w:pPr>
            <w:r w:rsidRPr="009E2812">
              <w:rPr>
                <w:b/>
                <w:i/>
                <w:snapToGrid w:val="0"/>
                <w:sz w:val="24"/>
                <w:szCs w:val="24"/>
                <w:lang w:val="uk-UA"/>
              </w:rPr>
              <w:t xml:space="preserve"> що здійснює державне регулювання </w:t>
            </w:r>
          </w:p>
          <w:p w:rsidR="00B32EC0" w:rsidRPr="009E2812" w:rsidRDefault="00B32EC0" w:rsidP="002C7EC4">
            <w:pPr>
              <w:widowControl w:val="0"/>
              <w:ind w:firstLine="360"/>
              <w:jc w:val="right"/>
              <w:rPr>
                <w:b/>
                <w:i/>
                <w:snapToGrid w:val="0"/>
                <w:sz w:val="24"/>
                <w:szCs w:val="24"/>
                <w:lang w:val="uk-UA"/>
              </w:rPr>
            </w:pPr>
            <w:r w:rsidRPr="009E2812">
              <w:rPr>
                <w:b/>
                <w:i/>
                <w:snapToGrid w:val="0"/>
                <w:sz w:val="24"/>
                <w:szCs w:val="24"/>
                <w:lang w:val="uk-UA"/>
              </w:rPr>
              <w:t>у сфері ринків фінансових послуг</w:t>
            </w:r>
          </w:p>
          <w:p w:rsidR="00B32EC0" w:rsidRPr="009E2812" w:rsidRDefault="00B32EC0" w:rsidP="002C7EC4">
            <w:pPr>
              <w:rPr>
                <w:b/>
                <w:i/>
                <w:sz w:val="18"/>
                <w:szCs w:val="18"/>
                <w:lang w:val="uk-UA"/>
              </w:rPr>
            </w:pPr>
          </w:p>
          <w:p w:rsidR="00B32EC0" w:rsidRPr="009E2812" w:rsidRDefault="00B32EC0" w:rsidP="002C7EC4">
            <w:pPr>
              <w:widowControl w:val="0"/>
              <w:ind w:firstLine="360"/>
              <w:jc w:val="right"/>
              <w:rPr>
                <w:b/>
                <w:i/>
                <w:snapToGrid w:val="0"/>
                <w:sz w:val="24"/>
                <w:szCs w:val="24"/>
                <w:lang w:val="uk-UA"/>
              </w:rPr>
            </w:pPr>
            <w:r w:rsidRPr="009E2812">
              <w:rPr>
                <w:b/>
                <w:i/>
                <w:snapToGrid w:val="0"/>
                <w:sz w:val="24"/>
                <w:szCs w:val="24"/>
                <w:lang w:val="uk-UA"/>
              </w:rPr>
              <w:t xml:space="preserve">Раді Відкритого пенсійного фонду «ФАРМАЦЕВТИЧНИЙ» </w:t>
            </w:r>
          </w:p>
          <w:p w:rsidR="00B32EC0" w:rsidRDefault="00B32EC0" w:rsidP="002C7EC4">
            <w:pPr>
              <w:widowControl w:val="0"/>
              <w:ind w:firstLine="360"/>
              <w:jc w:val="right"/>
              <w:rPr>
                <w:b/>
                <w:i/>
                <w:snapToGrid w:val="0"/>
                <w:sz w:val="24"/>
                <w:szCs w:val="24"/>
                <w:lang w:val="uk-UA"/>
              </w:rPr>
            </w:pPr>
          </w:p>
          <w:p w:rsidR="00B32EC0" w:rsidRPr="009E2812" w:rsidRDefault="00B32EC0" w:rsidP="002C7EC4">
            <w:pPr>
              <w:widowControl w:val="0"/>
              <w:ind w:firstLine="360"/>
              <w:jc w:val="right"/>
              <w:rPr>
                <w:b/>
                <w:i/>
                <w:snapToGrid w:val="0"/>
                <w:sz w:val="24"/>
                <w:szCs w:val="24"/>
                <w:lang w:val="uk-UA"/>
              </w:rPr>
            </w:pPr>
            <w:r w:rsidRPr="009E2812">
              <w:rPr>
                <w:b/>
                <w:i/>
                <w:snapToGrid w:val="0"/>
                <w:sz w:val="24"/>
                <w:szCs w:val="24"/>
                <w:lang w:val="uk-UA"/>
              </w:rPr>
              <w:t xml:space="preserve">Адміністратору </w:t>
            </w:r>
          </w:p>
          <w:p w:rsidR="00B32EC0" w:rsidRPr="009E2812" w:rsidRDefault="00B32EC0" w:rsidP="002C7EC4">
            <w:pPr>
              <w:widowControl w:val="0"/>
              <w:ind w:firstLine="360"/>
              <w:jc w:val="right"/>
              <w:rPr>
                <w:b/>
                <w:i/>
                <w:sz w:val="18"/>
                <w:szCs w:val="18"/>
                <w:lang w:val="uk-UA"/>
              </w:rPr>
            </w:pPr>
            <w:r w:rsidRPr="009E2812">
              <w:rPr>
                <w:b/>
                <w:i/>
                <w:snapToGrid w:val="0"/>
                <w:sz w:val="24"/>
                <w:szCs w:val="24"/>
                <w:lang w:val="uk-UA"/>
              </w:rPr>
              <w:t xml:space="preserve">Відкритого  пенсійного фонду «ФАРМАЦЕВТИЧНИЙ» </w:t>
            </w:r>
          </w:p>
          <w:p w:rsidR="00B32EC0" w:rsidRPr="009E2812" w:rsidRDefault="00B32EC0" w:rsidP="002C7EC4">
            <w:pPr>
              <w:rPr>
                <w:i/>
                <w:lang w:val="uk-UA"/>
              </w:rPr>
            </w:pPr>
          </w:p>
        </w:tc>
      </w:tr>
    </w:tbl>
    <w:p w:rsidR="00B32EC0" w:rsidRPr="009E2812" w:rsidRDefault="00B32EC0" w:rsidP="002C7EC4">
      <w:pPr>
        <w:jc w:val="right"/>
        <w:rPr>
          <w:i/>
          <w:highlight w:val="yellow"/>
          <w:lang w:val="uk-UA"/>
        </w:rPr>
      </w:pPr>
    </w:p>
    <w:p w:rsidR="00B32EC0" w:rsidRPr="009E2812" w:rsidRDefault="00B32EC0" w:rsidP="002C7EC4">
      <w:pPr>
        <w:jc w:val="both"/>
        <w:rPr>
          <w:i/>
          <w:highlight w:val="yellow"/>
          <w:lang w:val="uk-UA"/>
        </w:rPr>
      </w:pPr>
    </w:p>
    <w:p w:rsidR="00B32EC0" w:rsidRPr="009E2812" w:rsidRDefault="00B32EC0" w:rsidP="002C7EC4">
      <w:pPr>
        <w:ind w:left="-4536" w:firstLine="4536"/>
        <w:jc w:val="center"/>
        <w:rPr>
          <w:b/>
          <w:kern w:val="32"/>
          <w:highlight w:val="yellow"/>
          <w:lang w:val="uk-UA"/>
        </w:rPr>
      </w:pPr>
    </w:p>
    <w:p w:rsidR="00B32EC0" w:rsidRPr="009E2812" w:rsidRDefault="00B32EC0" w:rsidP="002C7EC4">
      <w:pPr>
        <w:ind w:left="-4536" w:firstLine="4536"/>
        <w:jc w:val="center"/>
        <w:rPr>
          <w:b/>
          <w:kern w:val="32"/>
          <w:lang w:val="uk-UA"/>
        </w:rPr>
      </w:pPr>
    </w:p>
    <w:p w:rsidR="00B32EC0" w:rsidRPr="009E2812" w:rsidRDefault="00B32EC0" w:rsidP="002C7EC4">
      <w:pPr>
        <w:ind w:left="-4536" w:firstLine="4536"/>
        <w:jc w:val="center"/>
        <w:rPr>
          <w:b/>
          <w:kern w:val="32"/>
          <w:lang w:val="uk-UA"/>
        </w:rPr>
      </w:pPr>
    </w:p>
    <w:p w:rsidR="00B32EC0" w:rsidRPr="009E2812" w:rsidRDefault="00B32EC0" w:rsidP="002C7EC4">
      <w:pPr>
        <w:jc w:val="center"/>
        <w:rPr>
          <w:b/>
          <w:sz w:val="36"/>
          <w:szCs w:val="36"/>
          <w:lang w:val="uk-UA"/>
        </w:rPr>
      </w:pPr>
      <w:r w:rsidRPr="009E2812">
        <w:rPr>
          <w:b/>
          <w:sz w:val="36"/>
          <w:szCs w:val="36"/>
          <w:lang w:val="uk-UA"/>
        </w:rPr>
        <w:t>Аудиторський  висновок</w:t>
      </w:r>
    </w:p>
    <w:p w:rsidR="00B32EC0" w:rsidRPr="009E2812" w:rsidRDefault="00B32EC0" w:rsidP="002C7EC4">
      <w:pPr>
        <w:jc w:val="center"/>
        <w:rPr>
          <w:b/>
          <w:sz w:val="36"/>
          <w:szCs w:val="36"/>
          <w:lang w:val="uk-UA"/>
        </w:rPr>
      </w:pPr>
      <w:r w:rsidRPr="009E2812">
        <w:rPr>
          <w:b/>
          <w:sz w:val="36"/>
          <w:szCs w:val="36"/>
          <w:lang w:val="uk-UA"/>
        </w:rPr>
        <w:t>(ЗВІТ незалежних аудиторів)</w:t>
      </w:r>
    </w:p>
    <w:p w:rsidR="00B32EC0" w:rsidRPr="009E2812" w:rsidRDefault="00B32EC0" w:rsidP="002C7EC4">
      <w:pPr>
        <w:jc w:val="center"/>
        <w:rPr>
          <w:b/>
          <w:kern w:val="32"/>
          <w:lang w:val="uk-UA"/>
        </w:rPr>
      </w:pPr>
    </w:p>
    <w:p w:rsidR="00B32EC0" w:rsidRPr="009E2812" w:rsidRDefault="00B32EC0" w:rsidP="002C7EC4">
      <w:pPr>
        <w:widowControl w:val="0"/>
        <w:jc w:val="center"/>
        <w:rPr>
          <w:b/>
          <w:sz w:val="22"/>
          <w:szCs w:val="22"/>
          <w:lang w:val="uk-UA"/>
        </w:rPr>
      </w:pPr>
      <w:r w:rsidRPr="009E2812">
        <w:rPr>
          <w:b/>
          <w:sz w:val="22"/>
          <w:szCs w:val="22"/>
          <w:lang w:val="uk-UA"/>
        </w:rPr>
        <w:t>ЩОДО РІЧНОЇ ФІНАНСОВОЇ ЗВІТНОСТІ</w:t>
      </w:r>
    </w:p>
    <w:p w:rsidR="00B32EC0" w:rsidRPr="009E2812" w:rsidRDefault="00B32EC0" w:rsidP="002C7EC4">
      <w:pPr>
        <w:jc w:val="center"/>
        <w:rPr>
          <w:b/>
          <w:kern w:val="32"/>
          <w:sz w:val="24"/>
          <w:szCs w:val="24"/>
          <w:lang w:val="uk-UA"/>
        </w:rPr>
      </w:pPr>
    </w:p>
    <w:p w:rsidR="00B32EC0" w:rsidRPr="009E2812" w:rsidRDefault="00B32EC0" w:rsidP="002C7EC4">
      <w:pPr>
        <w:jc w:val="center"/>
        <w:rPr>
          <w:b/>
          <w:caps/>
          <w:sz w:val="24"/>
          <w:szCs w:val="24"/>
          <w:lang w:val="uk-UA"/>
        </w:rPr>
      </w:pPr>
      <w:r w:rsidRPr="009E2812">
        <w:rPr>
          <w:b/>
          <w:caps/>
          <w:sz w:val="24"/>
          <w:szCs w:val="24"/>
          <w:lang w:val="uk-UA"/>
        </w:rPr>
        <w:t xml:space="preserve">ВІДКРИТОГО ПЕНСІЙНОГО ФОНДУ </w:t>
      </w:r>
    </w:p>
    <w:p w:rsidR="00B32EC0" w:rsidRPr="009E2812" w:rsidRDefault="00B32EC0" w:rsidP="002C7EC4">
      <w:pPr>
        <w:jc w:val="center"/>
        <w:rPr>
          <w:b/>
          <w:kern w:val="32"/>
          <w:sz w:val="32"/>
          <w:szCs w:val="32"/>
          <w:lang w:val="uk-UA"/>
        </w:rPr>
      </w:pPr>
      <w:r w:rsidRPr="009E2812">
        <w:rPr>
          <w:b/>
          <w:kern w:val="32"/>
          <w:sz w:val="32"/>
          <w:szCs w:val="32"/>
          <w:lang w:val="uk-UA"/>
        </w:rPr>
        <w:t xml:space="preserve">«ФАРМАЦЕВТИЧНИЙ» </w:t>
      </w:r>
    </w:p>
    <w:p w:rsidR="00B32EC0" w:rsidRPr="009E2812" w:rsidRDefault="00B32EC0" w:rsidP="002C7EC4">
      <w:pPr>
        <w:jc w:val="center"/>
        <w:rPr>
          <w:b/>
          <w:kern w:val="32"/>
          <w:lang w:val="uk-UA"/>
        </w:rPr>
      </w:pPr>
    </w:p>
    <w:p w:rsidR="00B32EC0" w:rsidRPr="009E2812" w:rsidRDefault="00B32EC0" w:rsidP="002C7EC4">
      <w:pPr>
        <w:jc w:val="center"/>
        <w:rPr>
          <w:b/>
          <w:kern w:val="32"/>
          <w:sz w:val="24"/>
          <w:szCs w:val="24"/>
          <w:lang w:val="uk-UA"/>
        </w:rPr>
      </w:pPr>
      <w:r w:rsidRPr="009E2812">
        <w:rPr>
          <w:b/>
          <w:kern w:val="32"/>
          <w:lang w:val="uk-UA"/>
        </w:rPr>
        <w:t>за рік, що закінчився 31 грудня 2014 року</w:t>
      </w:r>
      <w:r w:rsidRPr="009E2812">
        <w:rPr>
          <w:b/>
          <w:kern w:val="32"/>
          <w:sz w:val="24"/>
          <w:szCs w:val="24"/>
          <w:lang w:val="uk-UA"/>
        </w:rPr>
        <w:t xml:space="preserve"> </w:t>
      </w:r>
    </w:p>
    <w:p w:rsidR="00B32EC0" w:rsidRPr="009E2812" w:rsidRDefault="00B32EC0" w:rsidP="002C7EC4">
      <w:pPr>
        <w:pStyle w:val="TOC1"/>
        <w:spacing w:before="0" w:after="0"/>
        <w:rPr>
          <w:rFonts w:ascii="Times New Roman" w:hAnsi="Times New Roman" w:cs="Times New Roman"/>
          <w:noProof w:val="0"/>
          <w:kern w:val="32"/>
          <w:highlight w:val="yellow"/>
        </w:rPr>
      </w:pPr>
    </w:p>
    <w:p w:rsidR="00B32EC0" w:rsidRPr="009E2812" w:rsidRDefault="00B32EC0" w:rsidP="002C7EC4">
      <w:pPr>
        <w:rPr>
          <w:highlight w:val="yellow"/>
          <w:lang w:val="uk-UA"/>
        </w:rPr>
      </w:pPr>
    </w:p>
    <w:p w:rsidR="00B32EC0" w:rsidRPr="009E2812" w:rsidRDefault="00B32EC0" w:rsidP="002C7EC4">
      <w:pPr>
        <w:rPr>
          <w:highlight w:val="yellow"/>
          <w:lang w:val="uk-UA"/>
        </w:rPr>
      </w:pPr>
    </w:p>
    <w:p w:rsidR="00B32EC0" w:rsidRPr="009E2812" w:rsidRDefault="00B32EC0" w:rsidP="002C7EC4">
      <w:pPr>
        <w:rPr>
          <w:highlight w:val="yellow"/>
          <w:lang w:val="uk-UA"/>
        </w:rPr>
      </w:pPr>
    </w:p>
    <w:p w:rsidR="00B32EC0" w:rsidRPr="009E2812" w:rsidRDefault="00B32EC0" w:rsidP="002C7EC4">
      <w:pPr>
        <w:rPr>
          <w:highlight w:val="yellow"/>
          <w:lang w:val="uk-UA"/>
        </w:rPr>
      </w:pPr>
    </w:p>
    <w:p w:rsidR="00B32EC0" w:rsidRPr="009E2812" w:rsidRDefault="00B32EC0" w:rsidP="002C7EC4">
      <w:pPr>
        <w:rPr>
          <w:highlight w:val="yellow"/>
          <w:lang w:val="uk-UA"/>
        </w:rPr>
      </w:pPr>
    </w:p>
    <w:p w:rsidR="00B32EC0" w:rsidRPr="009E2812" w:rsidRDefault="00B32EC0" w:rsidP="002C7EC4">
      <w:pPr>
        <w:rPr>
          <w:highlight w:val="yellow"/>
          <w:lang w:val="uk-UA"/>
        </w:rPr>
      </w:pPr>
    </w:p>
    <w:p w:rsidR="00B32EC0" w:rsidRPr="009E2812" w:rsidRDefault="00B32EC0" w:rsidP="002C7EC4">
      <w:pPr>
        <w:rPr>
          <w:highlight w:val="yellow"/>
          <w:lang w:val="uk-UA"/>
        </w:rPr>
      </w:pPr>
    </w:p>
    <w:p w:rsidR="00B32EC0" w:rsidRPr="009E2812" w:rsidRDefault="00B32EC0" w:rsidP="002C7EC4">
      <w:pPr>
        <w:rPr>
          <w:highlight w:val="yellow"/>
          <w:lang w:val="uk-UA"/>
        </w:rPr>
      </w:pPr>
    </w:p>
    <w:p w:rsidR="00B32EC0" w:rsidRPr="009E2812" w:rsidRDefault="00B32EC0" w:rsidP="002C7EC4">
      <w:pPr>
        <w:rPr>
          <w:highlight w:val="yellow"/>
          <w:lang w:val="uk-UA"/>
        </w:rPr>
      </w:pPr>
    </w:p>
    <w:p w:rsidR="00B32EC0" w:rsidRPr="009E2812" w:rsidRDefault="00B32EC0" w:rsidP="002C7EC4">
      <w:pPr>
        <w:rPr>
          <w:highlight w:val="yellow"/>
          <w:lang w:val="uk-UA"/>
        </w:rPr>
      </w:pPr>
    </w:p>
    <w:p w:rsidR="00B32EC0" w:rsidRPr="009E2812" w:rsidRDefault="00B32EC0" w:rsidP="002C7EC4">
      <w:pPr>
        <w:rPr>
          <w:highlight w:val="yellow"/>
          <w:lang w:val="uk-UA"/>
        </w:rPr>
      </w:pPr>
    </w:p>
    <w:p w:rsidR="00B32EC0" w:rsidRPr="009E2812" w:rsidRDefault="00B32EC0" w:rsidP="002C7EC4">
      <w:pPr>
        <w:rPr>
          <w:highlight w:val="yellow"/>
          <w:lang w:val="uk-UA"/>
        </w:rPr>
      </w:pPr>
    </w:p>
    <w:p w:rsidR="00B32EC0" w:rsidRPr="009E2812" w:rsidRDefault="00B32EC0" w:rsidP="002C7EC4">
      <w:pPr>
        <w:rPr>
          <w:highlight w:val="yellow"/>
          <w:lang w:val="uk-UA"/>
        </w:rPr>
      </w:pPr>
    </w:p>
    <w:p w:rsidR="00B32EC0" w:rsidRPr="009E2812" w:rsidRDefault="00B32EC0" w:rsidP="002C7EC4">
      <w:pPr>
        <w:rPr>
          <w:highlight w:val="yellow"/>
          <w:lang w:val="uk-UA"/>
        </w:rPr>
      </w:pPr>
    </w:p>
    <w:p w:rsidR="00B32EC0" w:rsidRPr="009E2812" w:rsidRDefault="00B32EC0" w:rsidP="002C7EC4">
      <w:pPr>
        <w:rPr>
          <w:highlight w:val="yellow"/>
          <w:lang w:val="uk-UA"/>
        </w:rPr>
      </w:pPr>
    </w:p>
    <w:p w:rsidR="00B32EC0" w:rsidRPr="009E2812" w:rsidRDefault="00B32EC0" w:rsidP="002C7EC4">
      <w:pPr>
        <w:rPr>
          <w:highlight w:val="yellow"/>
          <w:lang w:val="uk-UA"/>
        </w:rPr>
      </w:pPr>
    </w:p>
    <w:p w:rsidR="00B32EC0" w:rsidRPr="009E2812" w:rsidRDefault="00B32EC0" w:rsidP="002C7EC4">
      <w:pPr>
        <w:jc w:val="center"/>
        <w:rPr>
          <w:b/>
          <w:kern w:val="32"/>
          <w:lang w:val="uk-UA"/>
        </w:rPr>
      </w:pPr>
      <w:r w:rsidRPr="009E2812">
        <w:rPr>
          <w:b/>
          <w:kern w:val="32"/>
          <w:sz w:val="24"/>
          <w:szCs w:val="24"/>
          <w:lang w:val="uk-UA"/>
        </w:rPr>
        <w:t xml:space="preserve"> </w:t>
      </w:r>
    </w:p>
    <w:p w:rsidR="00B32EC0" w:rsidRPr="009E2812" w:rsidRDefault="00B32EC0" w:rsidP="002C7EC4">
      <w:pPr>
        <w:widowControl w:val="0"/>
        <w:numPr>
          <w:ilvl w:val="0"/>
          <w:numId w:val="13"/>
        </w:numPr>
        <w:jc w:val="center"/>
        <w:rPr>
          <w:b/>
          <w:snapToGrid w:val="0"/>
          <w:sz w:val="24"/>
          <w:szCs w:val="24"/>
          <w:lang w:val="uk-UA"/>
        </w:rPr>
      </w:pPr>
      <w:r w:rsidRPr="009E2812">
        <w:rPr>
          <w:lang w:val="uk-UA"/>
        </w:rPr>
        <w:br w:type="page"/>
      </w:r>
      <w:r w:rsidRPr="009E2812">
        <w:rPr>
          <w:b/>
          <w:snapToGrid w:val="0"/>
          <w:sz w:val="24"/>
          <w:szCs w:val="24"/>
          <w:lang w:val="uk-UA"/>
        </w:rPr>
        <w:t>Розділ «Звіт щодо фінансової звітності»</w:t>
      </w:r>
    </w:p>
    <w:p w:rsidR="00B32EC0" w:rsidRPr="009E2812" w:rsidRDefault="00B32EC0" w:rsidP="002C7EC4">
      <w:pPr>
        <w:ind w:left="1080"/>
        <w:jc w:val="both"/>
        <w:rPr>
          <w:i/>
          <w:caps/>
          <w:sz w:val="24"/>
          <w:szCs w:val="24"/>
          <w:lang w:val="uk-UA"/>
        </w:rPr>
      </w:pPr>
    </w:p>
    <w:p w:rsidR="00B32EC0" w:rsidRPr="009E2812" w:rsidRDefault="00B32EC0" w:rsidP="002C7EC4">
      <w:pPr>
        <w:numPr>
          <w:ilvl w:val="1"/>
          <w:numId w:val="13"/>
        </w:numPr>
        <w:ind w:hanging="796"/>
        <w:jc w:val="both"/>
        <w:rPr>
          <w:i/>
          <w:caps/>
          <w:sz w:val="24"/>
          <w:szCs w:val="24"/>
          <w:lang w:val="uk-UA"/>
        </w:rPr>
      </w:pPr>
      <w:r w:rsidRPr="009E2812">
        <w:rPr>
          <w:i/>
          <w:caps/>
          <w:sz w:val="24"/>
          <w:szCs w:val="24"/>
          <w:lang w:val="uk-UA"/>
        </w:rPr>
        <w:t>Основні відомості</w:t>
      </w:r>
    </w:p>
    <w:p w:rsidR="00B32EC0" w:rsidRPr="009E2812" w:rsidRDefault="00B32EC0" w:rsidP="002C7EC4">
      <w:pPr>
        <w:jc w:val="center"/>
        <w:outlineLvl w:val="1"/>
        <w:rPr>
          <w:b/>
          <w:sz w:val="10"/>
          <w:szCs w:val="10"/>
          <w:lang w:val="uk-UA"/>
        </w:rPr>
      </w:pPr>
    </w:p>
    <w:tbl>
      <w:tblPr>
        <w:tblW w:w="8930" w:type="dxa"/>
        <w:tblInd w:w="817"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3260"/>
        <w:gridCol w:w="5670"/>
      </w:tblGrid>
      <w:tr w:rsidR="00B32EC0" w:rsidRPr="009E2812" w:rsidTr="0094486E">
        <w:tc>
          <w:tcPr>
            <w:tcW w:w="3260" w:type="dxa"/>
            <w:tcBorders>
              <w:top w:val="threeDEngrave" w:sz="6" w:space="0" w:color="auto"/>
            </w:tcBorders>
            <w:shd w:val="clear" w:color="auto" w:fill="FFFFFF"/>
            <w:vAlign w:val="center"/>
          </w:tcPr>
          <w:p w:rsidR="00B32EC0" w:rsidRPr="009E2812" w:rsidRDefault="00B32EC0" w:rsidP="002C7EC4">
            <w:pPr>
              <w:ind w:left="72"/>
              <w:rPr>
                <w:i/>
                <w:lang w:val="uk-UA"/>
              </w:rPr>
            </w:pPr>
            <w:r w:rsidRPr="009E2812">
              <w:rPr>
                <w:i/>
                <w:lang w:val="uk-UA"/>
              </w:rPr>
              <w:t>Повне найменування Фонду</w:t>
            </w:r>
          </w:p>
        </w:tc>
        <w:tc>
          <w:tcPr>
            <w:tcW w:w="5670" w:type="dxa"/>
            <w:tcBorders>
              <w:top w:val="threeDEngrave" w:sz="6" w:space="0" w:color="auto"/>
            </w:tcBorders>
            <w:vAlign w:val="center"/>
          </w:tcPr>
          <w:p w:rsidR="00B32EC0" w:rsidRPr="009E2812" w:rsidRDefault="00B32EC0" w:rsidP="002C7EC4">
            <w:pPr>
              <w:rPr>
                <w:b/>
                <w:lang w:val="uk-UA"/>
              </w:rPr>
            </w:pPr>
            <w:bookmarkStart w:id="0" w:name="OLE_LINK1"/>
            <w:bookmarkStart w:id="1" w:name="OLE_LINK4"/>
            <w:r w:rsidRPr="009E2812">
              <w:rPr>
                <w:lang w:val="uk-UA"/>
              </w:rPr>
              <w:t>Відкритий пенсійний фонд «ФАРМАЦЕВТИЧНИЙ»</w:t>
            </w:r>
            <w:r w:rsidRPr="009E2812">
              <w:rPr>
                <w:b/>
                <w:lang w:val="uk-UA"/>
              </w:rPr>
              <w:t xml:space="preserve"> </w:t>
            </w:r>
            <w:bookmarkEnd w:id="0"/>
            <w:bookmarkEnd w:id="1"/>
          </w:p>
        </w:tc>
      </w:tr>
      <w:tr w:rsidR="00B32EC0" w:rsidRPr="009E2812" w:rsidTr="0094486E">
        <w:tc>
          <w:tcPr>
            <w:tcW w:w="3260" w:type="dxa"/>
            <w:shd w:val="clear" w:color="auto" w:fill="FFFFFF"/>
            <w:vAlign w:val="center"/>
          </w:tcPr>
          <w:p w:rsidR="00B32EC0" w:rsidRPr="009E2812" w:rsidRDefault="00B32EC0" w:rsidP="002C7EC4">
            <w:pPr>
              <w:ind w:left="72"/>
              <w:rPr>
                <w:i/>
                <w:lang w:val="uk-UA"/>
              </w:rPr>
            </w:pPr>
            <w:r w:rsidRPr="009E2812">
              <w:rPr>
                <w:i/>
                <w:lang w:val="uk-UA"/>
              </w:rPr>
              <w:t>Скорочене найменування</w:t>
            </w:r>
          </w:p>
        </w:tc>
        <w:tc>
          <w:tcPr>
            <w:tcW w:w="5670" w:type="dxa"/>
            <w:vAlign w:val="center"/>
          </w:tcPr>
          <w:p w:rsidR="00B32EC0" w:rsidRPr="009E2812" w:rsidRDefault="00B32EC0" w:rsidP="002C7EC4">
            <w:pPr>
              <w:rPr>
                <w:b/>
                <w:lang w:val="uk-UA"/>
              </w:rPr>
            </w:pPr>
            <w:bookmarkStart w:id="2" w:name="OLE_LINK5"/>
            <w:bookmarkStart w:id="3" w:name="OLE_LINK6"/>
            <w:r w:rsidRPr="009E2812">
              <w:rPr>
                <w:lang w:val="uk-UA"/>
              </w:rPr>
              <w:t>ВПФ «ФАРМАЦЕВТИЧНИЙ»</w:t>
            </w:r>
            <w:bookmarkEnd w:id="2"/>
            <w:bookmarkEnd w:id="3"/>
          </w:p>
        </w:tc>
      </w:tr>
      <w:tr w:rsidR="00B32EC0" w:rsidRPr="009E2812" w:rsidTr="0094486E">
        <w:tc>
          <w:tcPr>
            <w:tcW w:w="3260" w:type="dxa"/>
            <w:shd w:val="clear" w:color="auto" w:fill="FFFFFF"/>
            <w:vAlign w:val="center"/>
          </w:tcPr>
          <w:p w:rsidR="00B32EC0" w:rsidRPr="009E2812" w:rsidRDefault="00B32EC0" w:rsidP="002C7EC4">
            <w:pPr>
              <w:ind w:left="72"/>
              <w:rPr>
                <w:i/>
                <w:lang w:val="uk-UA"/>
              </w:rPr>
            </w:pPr>
            <w:r w:rsidRPr="009E2812">
              <w:rPr>
                <w:i/>
                <w:lang w:val="uk-UA"/>
              </w:rPr>
              <w:t>Вид недержавного пенсійного фонду</w:t>
            </w:r>
          </w:p>
        </w:tc>
        <w:tc>
          <w:tcPr>
            <w:tcW w:w="5670" w:type="dxa"/>
            <w:vAlign w:val="center"/>
          </w:tcPr>
          <w:p w:rsidR="00B32EC0" w:rsidRPr="009E2812" w:rsidRDefault="00B32EC0" w:rsidP="002C7EC4">
            <w:pPr>
              <w:rPr>
                <w:lang w:val="uk-UA"/>
              </w:rPr>
            </w:pPr>
            <w:r w:rsidRPr="009E2812">
              <w:rPr>
                <w:lang w:val="uk-UA"/>
              </w:rPr>
              <w:t xml:space="preserve">Відкритий </w:t>
            </w:r>
          </w:p>
        </w:tc>
      </w:tr>
      <w:tr w:rsidR="00B32EC0" w:rsidRPr="009E2812" w:rsidTr="0094486E">
        <w:tc>
          <w:tcPr>
            <w:tcW w:w="3260" w:type="dxa"/>
            <w:shd w:val="clear" w:color="auto" w:fill="FFFFFF"/>
            <w:vAlign w:val="center"/>
          </w:tcPr>
          <w:p w:rsidR="00B32EC0" w:rsidRPr="009E2812" w:rsidRDefault="00B32EC0" w:rsidP="002C7EC4">
            <w:pPr>
              <w:ind w:left="72"/>
              <w:rPr>
                <w:i/>
                <w:lang w:val="uk-UA"/>
              </w:rPr>
            </w:pPr>
            <w:r w:rsidRPr="009E2812">
              <w:rPr>
                <w:i/>
                <w:lang w:val="uk-UA"/>
              </w:rPr>
              <w:t>Код за ЄДРПОУ </w:t>
            </w:r>
          </w:p>
        </w:tc>
        <w:tc>
          <w:tcPr>
            <w:tcW w:w="5670" w:type="dxa"/>
            <w:vAlign w:val="center"/>
          </w:tcPr>
          <w:p w:rsidR="00B32EC0" w:rsidRPr="00611C5F" w:rsidRDefault="00B32EC0" w:rsidP="002C7EC4">
            <w:pPr>
              <w:rPr>
                <w:lang w:val="uk-UA"/>
              </w:rPr>
            </w:pPr>
            <w:r w:rsidRPr="00611C5F">
              <w:rPr>
                <w:lang w:val="uk-UA"/>
              </w:rPr>
              <w:t>33</w:t>
            </w:r>
            <w:r w:rsidRPr="00611C5F">
              <w:rPr>
                <w:lang w:val="en-US"/>
              </w:rPr>
              <w:t>2</w:t>
            </w:r>
            <w:r w:rsidRPr="00611C5F">
              <w:rPr>
                <w:lang w:val="uk-UA"/>
              </w:rPr>
              <w:t>62460</w:t>
            </w:r>
          </w:p>
        </w:tc>
      </w:tr>
      <w:tr w:rsidR="00B32EC0" w:rsidRPr="009E2812" w:rsidTr="0094486E">
        <w:tc>
          <w:tcPr>
            <w:tcW w:w="3260" w:type="dxa"/>
            <w:shd w:val="clear" w:color="auto" w:fill="FFFFFF"/>
            <w:vAlign w:val="center"/>
          </w:tcPr>
          <w:p w:rsidR="00B32EC0" w:rsidRPr="009E2812" w:rsidRDefault="00B32EC0" w:rsidP="002C7EC4">
            <w:pPr>
              <w:ind w:left="72"/>
              <w:rPr>
                <w:i/>
                <w:lang w:val="uk-UA"/>
              </w:rPr>
            </w:pPr>
            <w:r w:rsidRPr="009E2812">
              <w:rPr>
                <w:i/>
                <w:lang w:val="uk-UA"/>
              </w:rPr>
              <w:t>Місцезнаходження </w:t>
            </w:r>
          </w:p>
        </w:tc>
        <w:tc>
          <w:tcPr>
            <w:tcW w:w="5670" w:type="dxa"/>
            <w:vAlign w:val="center"/>
          </w:tcPr>
          <w:p w:rsidR="00B32EC0" w:rsidRPr="009E2812" w:rsidRDefault="00B32EC0" w:rsidP="00F43CA1">
            <w:pPr>
              <w:rPr>
                <w:lang w:val="uk-UA"/>
              </w:rPr>
            </w:pPr>
            <w:smartTag w:uri="urn:schemas-microsoft-com:office:smarttags" w:element="metricconverter">
              <w:smartTagPr>
                <w:attr w:name="ProductID" w:val="01030, м"/>
              </w:smartTagPr>
              <w:r w:rsidRPr="009E2812">
                <w:rPr>
                  <w:lang w:val="uk-UA"/>
                </w:rPr>
                <w:t>01030, м</w:t>
              </w:r>
            </w:smartTag>
            <w:r w:rsidRPr="009E2812">
              <w:rPr>
                <w:lang w:val="uk-UA"/>
              </w:rPr>
              <w:t>. Київ., вул. Чапаєва, буд. 12, офіс 1</w:t>
            </w:r>
          </w:p>
        </w:tc>
      </w:tr>
      <w:tr w:rsidR="00B32EC0" w:rsidRPr="009E2812" w:rsidTr="0094486E">
        <w:tc>
          <w:tcPr>
            <w:tcW w:w="3260" w:type="dxa"/>
            <w:shd w:val="clear" w:color="auto" w:fill="FFFFFF"/>
            <w:vAlign w:val="center"/>
          </w:tcPr>
          <w:p w:rsidR="00B32EC0" w:rsidRPr="009E2812" w:rsidRDefault="00B32EC0" w:rsidP="00F43CA1">
            <w:pPr>
              <w:ind w:left="72"/>
              <w:rPr>
                <w:i/>
                <w:lang w:val="uk-UA"/>
              </w:rPr>
            </w:pPr>
            <w:r w:rsidRPr="009E2812">
              <w:rPr>
                <w:i/>
                <w:lang w:val="uk-UA"/>
              </w:rPr>
              <w:t>Дані з Виписки з Єдиного державного реєстру юридичних осіб та фізичних осіб-підприємців Державної реєстраційної служби України від 10.11.2014</w:t>
            </w:r>
          </w:p>
        </w:tc>
        <w:tc>
          <w:tcPr>
            <w:tcW w:w="5670" w:type="dxa"/>
            <w:vAlign w:val="center"/>
          </w:tcPr>
          <w:p w:rsidR="00B32EC0" w:rsidRPr="009E2812" w:rsidRDefault="00B32EC0" w:rsidP="00F43CA1">
            <w:pPr>
              <w:rPr>
                <w:lang w:val="uk-UA"/>
              </w:rPr>
            </w:pPr>
            <w:r w:rsidRPr="009E2812">
              <w:rPr>
                <w:lang w:val="uk-UA"/>
              </w:rPr>
              <w:t xml:space="preserve">Номер запису від 31.01.2005 р. </w:t>
            </w:r>
          </w:p>
          <w:p w:rsidR="00B32EC0" w:rsidRPr="009E2812" w:rsidRDefault="00B32EC0" w:rsidP="00F43CA1">
            <w:pPr>
              <w:rPr>
                <w:lang w:val="uk-UA"/>
              </w:rPr>
            </w:pPr>
            <w:r w:rsidRPr="009E2812">
              <w:rPr>
                <w:lang w:val="uk-UA"/>
              </w:rPr>
              <w:t>1 072 102 0000 002052</w:t>
            </w:r>
          </w:p>
          <w:p w:rsidR="00B32EC0" w:rsidRPr="009E2812" w:rsidRDefault="00B32EC0" w:rsidP="002C7EC4">
            <w:pPr>
              <w:rPr>
                <w:lang w:val="uk-UA"/>
              </w:rPr>
            </w:pPr>
          </w:p>
        </w:tc>
      </w:tr>
      <w:tr w:rsidR="00B32EC0" w:rsidRPr="009E2812" w:rsidTr="0094486E">
        <w:tc>
          <w:tcPr>
            <w:tcW w:w="3260" w:type="dxa"/>
            <w:shd w:val="clear" w:color="auto" w:fill="FFFFFF"/>
            <w:vAlign w:val="center"/>
          </w:tcPr>
          <w:p w:rsidR="00B32EC0" w:rsidRPr="009E2812" w:rsidRDefault="00B32EC0" w:rsidP="002C7EC4">
            <w:pPr>
              <w:ind w:left="72"/>
              <w:rPr>
                <w:i/>
                <w:lang w:val="uk-UA"/>
              </w:rPr>
            </w:pPr>
            <w:r w:rsidRPr="009E2812">
              <w:rPr>
                <w:i/>
                <w:lang w:val="uk-UA"/>
              </w:rPr>
              <w:t>Дата та номер рішення про реєстрацію фінансової установи </w:t>
            </w:r>
          </w:p>
        </w:tc>
        <w:tc>
          <w:tcPr>
            <w:tcW w:w="5670" w:type="dxa"/>
            <w:vAlign w:val="center"/>
          </w:tcPr>
          <w:p w:rsidR="00B32EC0" w:rsidRPr="009E2812" w:rsidRDefault="00B32EC0" w:rsidP="00F43CA1">
            <w:pPr>
              <w:rPr>
                <w:lang w:val="uk-UA"/>
              </w:rPr>
            </w:pPr>
            <w:r w:rsidRPr="009E2812">
              <w:rPr>
                <w:lang w:val="uk-UA"/>
              </w:rPr>
              <w:t>05.04.2005 року № 3839</w:t>
            </w:r>
          </w:p>
        </w:tc>
      </w:tr>
      <w:tr w:rsidR="00B32EC0" w:rsidRPr="009E2812" w:rsidTr="0094486E">
        <w:tc>
          <w:tcPr>
            <w:tcW w:w="3260" w:type="dxa"/>
            <w:shd w:val="clear" w:color="auto" w:fill="FFFFFF"/>
            <w:vAlign w:val="center"/>
          </w:tcPr>
          <w:p w:rsidR="00B32EC0" w:rsidRPr="009E2812" w:rsidRDefault="00B32EC0" w:rsidP="002C7EC4">
            <w:pPr>
              <w:ind w:left="72"/>
              <w:rPr>
                <w:i/>
                <w:lang w:val="uk-UA"/>
              </w:rPr>
            </w:pPr>
            <w:r w:rsidRPr="009E2812">
              <w:rPr>
                <w:i/>
                <w:lang w:val="uk-UA"/>
              </w:rPr>
              <w:t>Реєстраційний номер в Державному реєстрі фінансових установ </w:t>
            </w:r>
          </w:p>
        </w:tc>
        <w:tc>
          <w:tcPr>
            <w:tcW w:w="5670" w:type="dxa"/>
            <w:vAlign w:val="center"/>
          </w:tcPr>
          <w:p w:rsidR="00B32EC0" w:rsidRPr="009E2812" w:rsidRDefault="00B32EC0" w:rsidP="00F43CA1">
            <w:pPr>
              <w:rPr>
                <w:lang w:val="uk-UA"/>
              </w:rPr>
            </w:pPr>
            <w:r w:rsidRPr="009E2812">
              <w:rPr>
                <w:lang w:val="uk-UA"/>
              </w:rPr>
              <w:t>12101517</w:t>
            </w:r>
          </w:p>
        </w:tc>
      </w:tr>
      <w:tr w:rsidR="00B32EC0" w:rsidRPr="009E2812" w:rsidTr="0094486E">
        <w:trPr>
          <w:trHeight w:val="296"/>
        </w:trPr>
        <w:tc>
          <w:tcPr>
            <w:tcW w:w="3260" w:type="dxa"/>
            <w:shd w:val="clear" w:color="auto" w:fill="FFFFFF"/>
            <w:vAlign w:val="center"/>
          </w:tcPr>
          <w:p w:rsidR="00B32EC0" w:rsidRPr="009E2812" w:rsidRDefault="00B32EC0" w:rsidP="002C7EC4">
            <w:pPr>
              <w:ind w:left="72"/>
              <w:rPr>
                <w:i/>
                <w:lang w:val="uk-UA"/>
              </w:rPr>
            </w:pPr>
            <w:r w:rsidRPr="009E2812">
              <w:rPr>
                <w:i/>
                <w:lang w:val="uk-UA"/>
              </w:rPr>
              <w:t>Основний вид діяльності за КВЕД </w:t>
            </w:r>
          </w:p>
        </w:tc>
        <w:tc>
          <w:tcPr>
            <w:tcW w:w="5670" w:type="dxa"/>
            <w:vAlign w:val="center"/>
          </w:tcPr>
          <w:p w:rsidR="00B32EC0" w:rsidRPr="009E2812" w:rsidRDefault="00B32EC0" w:rsidP="002C7EC4">
            <w:pPr>
              <w:rPr>
                <w:lang w:val="uk-UA"/>
              </w:rPr>
            </w:pPr>
            <w:r w:rsidRPr="009E2812">
              <w:rPr>
                <w:lang w:val="uk-UA"/>
              </w:rPr>
              <w:t>65.30. (Недержавне пенсійне забезпечення)</w:t>
            </w:r>
          </w:p>
        </w:tc>
      </w:tr>
      <w:tr w:rsidR="00B32EC0" w:rsidRPr="00611C5F" w:rsidTr="0094486E">
        <w:tc>
          <w:tcPr>
            <w:tcW w:w="3260" w:type="dxa"/>
            <w:shd w:val="clear" w:color="auto" w:fill="FFFFFF"/>
            <w:vAlign w:val="center"/>
          </w:tcPr>
          <w:p w:rsidR="00B32EC0" w:rsidRPr="00611C5F" w:rsidRDefault="00B32EC0" w:rsidP="002C7EC4">
            <w:pPr>
              <w:ind w:left="72"/>
              <w:rPr>
                <w:i/>
                <w:lang w:val="uk-UA"/>
              </w:rPr>
            </w:pPr>
            <w:r w:rsidRPr="00611C5F">
              <w:rPr>
                <w:i/>
                <w:lang w:val="uk-UA"/>
              </w:rPr>
              <w:t>Банківські реквізити </w:t>
            </w:r>
          </w:p>
        </w:tc>
        <w:tc>
          <w:tcPr>
            <w:tcW w:w="5670" w:type="dxa"/>
            <w:vAlign w:val="center"/>
          </w:tcPr>
          <w:p w:rsidR="00B32EC0" w:rsidRPr="00611C5F" w:rsidRDefault="00B32EC0" w:rsidP="00A165B7">
            <w:pPr>
              <w:rPr>
                <w:lang w:val="uk-UA"/>
              </w:rPr>
            </w:pPr>
            <w:r w:rsidRPr="00611C5F">
              <w:rPr>
                <w:sz w:val="18"/>
                <w:szCs w:val="18"/>
                <w:lang w:val="uk-UA"/>
              </w:rPr>
              <w:t xml:space="preserve">№ </w:t>
            </w:r>
            <w:r w:rsidRPr="00611C5F">
              <w:rPr>
                <w:sz w:val="18"/>
                <w:szCs w:val="18"/>
              </w:rPr>
              <w:t>265076969</w:t>
            </w:r>
            <w:r w:rsidRPr="00611C5F">
              <w:rPr>
                <w:sz w:val="18"/>
                <w:szCs w:val="18"/>
                <w:lang w:val="uk-UA"/>
              </w:rPr>
              <w:t xml:space="preserve"> в ПАТ «УПБ», МФО 300205 </w:t>
            </w:r>
          </w:p>
        </w:tc>
      </w:tr>
      <w:tr w:rsidR="00B32EC0" w:rsidRPr="00611C5F" w:rsidTr="0094486E">
        <w:tc>
          <w:tcPr>
            <w:tcW w:w="3260" w:type="dxa"/>
            <w:shd w:val="clear" w:color="auto" w:fill="FFFFFF"/>
            <w:vAlign w:val="center"/>
          </w:tcPr>
          <w:p w:rsidR="00B32EC0" w:rsidRPr="00611C5F" w:rsidRDefault="00B32EC0" w:rsidP="002C7EC4">
            <w:pPr>
              <w:ind w:left="72"/>
              <w:rPr>
                <w:i/>
                <w:lang w:val="uk-UA"/>
              </w:rPr>
            </w:pPr>
            <w:r w:rsidRPr="00611C5F">
              <w:rPr>
                <w:i/>
                <w:lang w:val="uk-UA"/>
              </w:rPr>
              <w:t xml:space="preserve">Договір  про адміністрування </w:t>
            </w:r>
          </w:p>
        </w:tc>
        <w:tc>
          <w:tcPr>
            <w:tcW w:w="5670" w:type="dxa"/>
            <w:vAlign w:val="center"/>
          </w:tcPr>
          <w:p w:rsidR="00B32EC0" w:rsidRPr="00611C5F" w:rsidRDefault="00B32EC0" w:rsidP="002C7EC4">
            <w:pPr>
              <w:rPr>
                <w:lang w:val="uk-UA"/>
              </w:rPr>
            </w:pPr>
            <w:r w:rsidRPr="00611C5F">
              <w:rPr>
                <w:lang w:val="uk-UA"/>
              </w:rPr>
              <w:t>Адміністратор - ТОВ «КУА «ГАРАНТІЯ-ІНВЕСТ»</w:t>
            </w:r>
          </w:p>
          <w:p w:rsidR="00B32EC0" w:rsidRPr="00611C5F" w:rsidRDefault="00B32EC0" w:rsidP="00A165B7">
            <w:pPr>
              <w:rPr>
                <w:lang w:val="uk-UA"/>
              </w:rPr>
            </w:pPr>
            <w:r w:rsidRPr="00611C5F">
              <w:rPr>
                <w:lang w:val="uk-UA"/>
              </w:rPr>
              <w:t xml:space="preserve">Договір про адміністрування пенсійного фонду (нова редакція) від </w:t>
            </w:r>
            <w:bookmarkStart w:id="4" w:name="OLE_LINK8"/>
            <w:bookmarkStart w:id="5" w:name="OLE_LINK9"/>
            <w:r w:rsidRPr="00611C5F">
              <w:rPr>
                <w:lang w:val="uk-UA"/>
              </w:rPr>
              <w:t>01.04.13 р.</w:t>
            </w:r>
            <w:bookmarkEnd w:id="4"/>
            <w:bookmarkEnd w:id="5"/>
            <w:r w:rsidRPr="00611C5F">
              <w:rPr>
                <w:lang w:val="uk-UA"/>
              </w:rPr>
              <w:t xml:space="preserve"> </w:t>
            </w:r>
          </w:p>
        </w:tc>
      </w:tr>
      <w:tr w:rsidR="00B32EC0" w:rsidRPr="00611C5F" w:rsidTr="0094486E">
        <w:tc>
          <w:tcPr>
            <w:tcW w:w="3260" w:type="dxa"/>
            <w:shd w:val="clear" w:color="auto" w:fill="FFFFFF"/>
            <w:vAlign w:val="center"/>
          </w:tcPr>
          <w:p w:rsidR="00B32EC0" w:rsidRPr="00611C5F" w:rsidRDefault="00B32EC0" w:rsidP="002C7EC4">
            <w:pPr>
              <w:ind w:left="72"/>
              <w:rPr>
                <w:i/>
                <w:lang w:val="uk-UA"/>
              </w:rPr>
            </w:pPr>
            <w:r w:rsidRPr="00611C5F">
              <w:rPr>
                <w:i/>
                <w:lang w:val="uk-UA"/>
              </w:rPr>
              <w:t xml:space="preserve">Договір про управління активами </w:t>
            </w:r>
          </w:p>
        </w:tc>
        <w:tc>
          <w:tcPr>
            <w:tcW w:w="5670" w:type="dxa"/>
            <w:vAlign w:val="center"/>
          </w:tcPr>
          <w:p w:rsidR="00B32EC0" w:rsidRPr="00611C5F" w:rsidRDefault="00B32EC0" w:rsidP="002C7EC4">
            <w:pPr>
              <w:rPr>
                <w:lang w:val="uk-UA"/>
              </w:rPr>
            </w:pPr>
            <w:r w:rsidRPr="00611C5F">
              <w:rPr>
                <w:lang w:val="uk-UA"/>
              </w:rPr>
              <w:t>Компанія з управління активами - ТОВ «КУА «ГАРАНТІЯ-ІНВЕСТ»</w:t>
            </w:r>
          </w:p>
          <w:p w:rsidR="00B32EC0" w:rsidRPr="00611C5F" w:rsidRDefault="00B32EC0" w:rsidP="005D693A">
            <w:pPr>
              <w:rPr>
                <w:lang w:val="uk-UA"/>
              </w:rPr>
            </w:pPr>
            <w:r w:rsidRPr="00611C5F">
              <w:rPr>
                <w:lang w:val="uk-UA"/>
              </w:rPr>
              <w:t>Договір про управління активами пенсійного фонду (нова редакція) від 01.04.2013 р.</w:t>
            </w:r>
          </w:p>
        </w:tc>
      </w:tr>
      <w:tr w:rsidR="00B32EC0" w:rsidRPr="00611C5F" w:rsidTr="0094486E">
        <w:trPr>
          <w:trHeight w:val="2138"/>
        </w:trPr>
        <w:tc>
          <w:tcPr>
            <w:tcW w:w="3260" w:type="dxa"/>
            <w:tcBorders>
              <w:bottom w:val="threeDEngrave" w:sz="6" w:space="0" w:color="auto"/>
            </w:tcBorders>
            <w:shd w:val="clear" w:color="auto" w:fill="FFFFFF"/>
            <w:vAlign w:val="center"/>
          </w:tcPr>
          <w:p w:rsidR="00B32EC0" w:rsidRPr="00611C5F" w:rsidRDefault="00B32EC0" w:rsidP="002C7EC4">
            <w:pPr>
              <w:ind w:left="72"/>
              <w:rPr>
                <w:i/>
                <w:lang w:val="uk-UA"/>
              </w:rPr>
            </w:pPr>
            <w:r w:rsidRPr="00611C5F">
              <w:rPr>
                <w:i/>
                <w:lang w:val="uk-UA"/>
              </w:rPr>
              <w:t xml:space="preserve">Дані про Зберігача </w:t>
            </w:r>
          </w:p>
          <w:p w:rsidR="00B32EC0" w:rsidRPr="00611C5F" w:rsidRDefault="00B32EC0" w:rsidP="002C7EC4">
            <w:pPr>
              <w:ind w:left="72"/>
              <w:rPr>
                <w:i/>
                <w:lang w:val="uk-UA"/>
              </w:rPr>
            </w:pPr>
            <w:r w:rsidRPr="00611C5F">
              <w:rPr>
                <w:i/>
                <w:lang w:val="uk-UA"/>
              </w:rPr>
              <w:t>ВПФ «ФАРМАЦЕВТИЧНИЙ»</w:t>
            </w:r>
          </w:p>
          <w:p w:rsidR="00B32EC0" w:rsidRPr="00611C5F" w:rsidRDefault="00B32EC0" w:rsidP="002C7EC4">
            <w:pPr>
              <w:rPr>
                <w:b/>
                <w:lang w:val="uk-UA"/>
              </w:rPr>
            </w:pPr>
          </w:p>
        </w:tc>
        <w:tc>
          <w:tcPr>
            <w:tcW w:w="5670" w:type="dxa"/>
            <w:tcBorders>
              <w:bottom w:val="threeDEngrave" w:sz="6" w:space="0" w:color="auto"/>
            </w:tcBorders>
            <w:vAlign w:val="center"/>
          </w:tcPr>
          <w:p w:rsidR="00B32EC0" w:rsidRPr="00611C5F" w:rsidRDefault="00B32EC0" w:rsidP="00134A2D">
            <w:pPr>
              <w:rPr>
                <w:lang w:val="uk-UA"/>
              </w:rPr>
            </w:pPr>
            <w:r w:rsidRPr="00611C5F">
              <w:rPr>
                <w:lang w:val="uk-UA"/>
              </w:rPr>
              <w:t>Публічне акціонерне товариство «Український Професійний Банк», що діє на підставі ліцензій Національної комісії з цінних паперів та фондового ринку на здійснення професійної діяльності на фондовому ринку - депозитарна діяльність (діяльність із зберігання активів пенсійних фондів) - серія АЕ № 263489 від 01.10.2013 р., строк дії з 12.10.2013 р. - необмежений.</w:t>
            </w:r>
          </w:p>
          <w:p w:rsidR="00B32EC0" w:rsidRPr="00611C5F" w:rsidRDefault="00B32EC0" w:rsidP="00134A2D">
            <w:pPr>
              <w:rPr>
                <w:lang w:val="uk-UA"/>
              </w:rPr>
            </w:pPr>
            <w:r w:rsidRPr="00611C5F">
              <w:rPr>
                <w:lang w:val="uk-UA"/>
              </w:rPr>
              <w:t>Генеральний договір про обслуговування пенсійного фонду зберігачем  № 1 укладений 01.04.2013 р.</w:t>
            </w:r>
          </w:p>
        </w:tc>
      </w:tr>
    </w:tbl>
    <w:p w:rsidR="00B32EC0" w:rsidRPr="00913760" w:rsidRDefault="00B32EC0" w:rsidP="002C7EC4">
      <w:pPr>
        <w:outlineLvl w:val="1"/>
        <w:rPr>
          <w:b/>
          <w:sz w:val="22"/>
          <w:szCs w:val="22"/>
          <w:lang w:val="uk-UA"/>
        </w:rPr>
      </w:pPr>
    </w:p>
    <w:p w:rsidR="00B32EC0" w:rsidRPr="009E2812" w:rsidRDefault="00B32EC0" w:rsidP="002C7EC4">
      <w:pPr>
        <w:jc w:val="both"/>
        <w:rPr>
          <w:highlight w:val="yellow"/>
          <w:lang w:val="uk-UA"/>
        </w:rPr>
      </w:pPr>
    </w:p>
    <w:p w:rsidR="00B32EC0" w:rsidRPr="009E2812" w:rsidRDefault="00B32EC0" w:rsidP="002C7EC4">
      <w:pPr>
        <w:suppressAutoHyphens/>
        <w:ind w:left="720"/>
        <w:jc w:val="both"/>
        <w:rPr>
          <w:sz w:val="24"/>
          <w:szCs w:val="24"/>
          <w:lang w:val="uk-UA" w:eastAsia="zh-CN"/>
        </w:rPr>
      </w:pPr>
      <w:r w:rsidRPr="009E2812">
        <w:rPr>
          <w:sz w:val="24"/>
          <w:szCs w:val="24"/>
          <w:lang w:val="uk-UA" w:eastAsia="zh-CN"/>
        </w:rPr>
        <w:t xml:space="preserve">Остання редакція Статуту ВПФ «ФАРМАЦЕВТИЧНИЙ» затверджена рішенням засновників 12.03.2014 р (протокол № 7) та зареєстрована Реєстраційною службою Головного управління юстиції у м. Києві 14.04.2014 р. (номер запису 1 072 105 0014 002052). </w:t>
      </w:r>
    </w:p>
    <w:p w:rsidR="00B32EC0" w:rsidRPr="009E2812" w:rsidRDefault="00B32EC0" w:rsidP="002C7EC4">
      <w:pPr>
        <w:suppressAutoHyphens/>
        <w:ind w:left="720"/>
        <w:jc w:val="both"/>
        <w:rPr>
          <w:sz w:val="24"/>
          <w:szCs w:val="24"/>
          <w:lang w:val="uk-UA" w:eastAsia="zh-CN"/>
        </w:rPr>
      </w:pPr>
    </w:p>
    <w:p w:rsidR="00B32EC0" w:rsidRPr="009E2812" w:rsidRDefault="00B32EC0" w:rsidP="002C7EC4">
      <w:pPr>
        <w:suppressAutoHyphens/>
        <w:ind w:left="720"/>
        <w:jc w:val="both"/>
        <w:rPr>
          <w:sz w:val="24"/>
          <w:szCs w:val="24"/>
          <w:lang w:val="uk-UA" w:eastAsia="zh-CN"/>
        </w:rPr>
      </w:pPr>
    </w:p>
    <w:p w:rsidR="00B32EC0" w:rsidRPr="009E2812" w:rsidRDefault="00B32EC0" w:rsidP="002C7EC4">
      <w:pPr>
        <w:suppressAutoHyphens/>
        <w:ind w:left="720"/>
        <w:jc w:val="both"/>
        <w:rPr>
          <w:sz w:val="24"/>
          <w:szCs w:val="24"/>
          <w:lang w:val="uk-UA" w:eastAsia="zh-CN"/>
        </w:rPr>
      </w:pPr>
      <w:r w:rsidRPr="009E2812">
        <w:rPr>
          <w:sz w:val="24"/>
          <w:szCs w:val="24"/>
          <w:lang w:val="uk-UA" w:eastAsia="zh-CN"/>
        </w:rPr>
        <w:t>Станом на 31.12.2014 р. засновниками ВПФ «ФАРМАЦЕВТИЧНИЙ» є:</w:t>
      </w:r>
    </w:p>
    <w:p w:rsidR="00B32EC0" w:rsidRPr="009E2812" w:rsidRDefault="00B32EC0" w:rsidP="002C7EC4">
      <w:pPr>
        <w:suppressAutoHyphens/>
        <w:ind w:left="720"/>
        <w:jc w:val="both"/>
        <w:rPr>
          <w:sz w:val="24"/>
          <w:szCs w:val="24"/>
          <w:lang w:val="uk-UA" w:eastAsia="zh-CN"/>
        </w:rPr>
      </w:pPr>
    </w:p>
    <w:p w:rsidR="00B32EC0" w:rsidRPr="009E2812" w:rsidRDefault="00B32EC0" w:rsidP="002C7EC4">
      <w:pPr>
        <w:numPr>
          <w:ilvl w:val="0"/>
          <w:numId w:val="6"/>
        </w:numPr>
        <w:jc w:val="both"/>
        <w:rPr>
          <w:sz w:val="24"/>
          <w:szCs w:val="24"/>
          <w:lang w:val="uk-UA"/>
        </w:rPr>
      </w:pPr>
      <w:r w:rsidRPr="009E2812">
        <w:rPr>
          <w:sz w:val="24"/>
          <w:szCs w:val="24"/>
          <w:lang w:val="uk-UA"/>
        </w:rPr>
        <w:t>Публічне акціонерне товариство «Науково-виробничий центр «Борщагівський хіміко-фармацевтичний завод», місцезнаходження: 03134, Україна, м. Київ, вул. Миру, 17, ідентифікаційний код 23518596;</w:t>
      </w:r>
    </w:p>
    <w:p w:rsidR="00B32EC0" w:rsidRPr="009E2812" w:rsidRDefault="00B32EC0" w:rsidP="002C7EC4">
      <w:pPr>
        <w:numPr>
          <w:ilvl w:val="0"/>
          <w:numId w:val="6"/>
        </w:numPr>
        <w:jc w:val="both"/>
        <w:rPr>
          <w:sz w:val="24"/>
          <w:szCs w:val="24"/>
          <w:lang w:val="uk-UA"/>
        </w:rPr>
      </w:pPr>
      <w:r w:rsidRPr="009E2812">
        <w:rPr>
          <w:sz w:val="24"/>
          <w:szCs w:val="24"/>
          <w:lang w:val="uk-UA"/>
        </w:rPr>
        <w:t>Товариство з обмеженою відповідальністю «Гарантія-Реєстр», місцезнаходження: 03134, Україна, м. Київ, вул. Миру, 17, ідентифікаційний код 35756332;</w:t>
      </w:r>
    </w:p>
    <w:p w:rsidR="00B32EC0" w:rsidRPr="00611C5F" w:rsidRDefault="00B32EC0" w:rsidP="002C7EC4">
      <w:pPr>
        <w:numPr>
          <w:ilvl w:val="0"/>
          <w:numId w:val="6"/>
        </w:numPr>
        <w:jc w:val="both"/>
        <w:rPr>
          <w:sz w:val="24"/>
          <w:szCs w:val="24"/>
          <w:lang w:val="uk-UA"/>
        </w:rPr>
      </w:pPr>
      <w:r w:rsidRPr="009E2812">
        <w:rPr>
          <w:sz w:val="24"/>
          <w:szCs w:val="24"/>
          <w:lang w:val="uk-UA"/>
        </w:rPr>
        <w:t>Товариство з обмеженою відповідальністю «Агрокомплект», місцезнаходження: 01030, Украї</w:t>
      </w:r>
      <w:r w:rsidRPr="00611C5F">
        <w:rPr>
          <w:sz w:val="24"/>
          <w:szCs w:val="24"/>
          <w:lang w:val="uk-UA"/>
        </w:rPr>
        <w:t xml:space="preserve">на, м. Київ, вул. Богдана Хмельницького, 9, кв. 2, ідентифікаційний код 05476925. </w:t>
      </w:r>
    </w:p>
    <w:p w:rsidR="00B32EC0" w:rsidRPr="009E2812" w:rsidRDefault="00B32EC0" w:rsidP="002C7EC4">
      <w:pPr>
        <w:ind w:left="720"/>
        <w:jc w:val="both"/>
        <w:rPr>
          <w:highlight w:val="yellow"/>
          <w:lang w:val="uk-UA"/>
        </w:rPr>
      </w:pPr>
    </w:p>
    <w:p w:rsidR="00B32EC0" w:rsidRPr="00913760" w:rsidRDefault="00B32EC0" w:rsidP="002C7EC4">
      <w:pPr>
        <w:jc w:val="center"/>
        <w:outlineLvl w:val="1"/>
        <w:rPr>
          <w:b/>
          <w:sz w:val="22"/>
          <w:szCs w:val="22"/>
          <w:lang w:val="uk-UA"/>
        </w:rPr>
      </w:pPr>
      <w:r w:rsidRPr="00913760">
        <w:rPr>
          <w:b/>
          <w:sz w:val="22"/>
          <w:szCs w:val="22"/>
          <w:lang w:val="uk-UA"/>
        </w:rPr>
        <w:t>Адміністратором ВПФ «ФАРМАЦЕВТИЧНИЙ» є:</w:t>
      </w:r>
    </w:p>
    <w:p w:rsidR="00B32EC0" w:rsidRPr="00913760" w:rsidRDefault="00B32EC0" w:rsidP="002C7EC4">
      <w:pPr>
        <w:outlineLvl w:val="1"/>
        <w:rPr>
          <w:b/>
          <w:sz w:val="22"/>
          <w:szCs w:val="22"/>
          <w:lang w:val="uk-UA"/>
        </w:rPr>
      </w:pPr>
    </w:p>
    <w:tbl>
      <w:tblPr>
        <w:tblW w:w="8930" w:type="dxa"/>
        <w:tblInd w:w="817"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3260"/>
        <w:gridCol w:w="5670"/>
      </w:tblGrid>
      <w:tr w:rsidR="00B32EC0" w:rsidRPr="009E2812" w:rsidTr="0094486E">
        <w:tc>
          <w:tcPr>
            <w:tcW w:w="3260" w:type="dxa"/>
            <w:tcBorders>
              <w:top w:val="threeDEngrave" w:sz="6" w:space="0" w:color="auto"/>
            </w:tcBorders>
            <w:shd w:val="clear" w:color="FFFF00" w:fill="FFFFFF"/>
            <w:vAlign w:val="center"/>
          </w:tcPr>
          <w:p w:rsidR="00B32EC0" w:rsidRPr="009E2812" w:rsidRDefault="00B32EC0" w:rsidP="002C7EC4">
            <w:pPr>
              <w:ind w:left="72"/>
              <w:rPr>
                <w:i/>
                <w:lang w:val="uk-UA"/>
              </w:rPr>
            </w:pPr>
            <w:r w:rsidRPr="009E2812">
              <w:rPr>
                <w:i/>
                <w:lang w:val="uk-UA"/>
              </w:rPr>
              <w:t>Повне найменування </w:t>
            </w:r>
          </w:p>
        </w:tc>
        <w:tc>
          <w:tcPr>
            <w:tcW w:w="5670" w:type="dxa"/>
            <w:tcBorders>
              <w:top w:val="threeDEngrave" w:sz="6" w:space="0" w:color="auto"/>
            </w:tcBorders>
            <w:vAlign w:val="center"/>
          </w:tcPr>
          <w:p w:rsidR="00B32EC0" w:rsidRPr="009E2812" w:rsidRDefault="00B32EC0" w:rsidP="00740513">
            <w:pPr>
              <w:ind w:left="72"/>
              <w:rPr>
                <w:lang w:val="uk-UA"/>
              </w:rPr>
            </w:pPr>
            <w:r w:rsidRPr="009E2812">
              <w:rPr>
                <w:lang w:val="uk-UA"/>
              </w:rPr>
              <w:t xml:space="preserve">Товариство з обмеженою відповідальністю </w:t>
            </w:r>
          </w:p>
          <w:p w:rsidR="00B32EC0" w:rsidRPr="009E2812" w:rsidRDefault="00B32EC0" w:rsidP="00740513">
            <w:pPr>
              <w:ind w:left="72"/>
              <w:rPr>
                <w:lang w:val="uk-UA"/>
              </w:rPr>
            </w:pPr>
            <w:r w:rsidRPr="009E2812">
              <w:rPr>
                <w:lang w:val="uk-UA"/>
              </w:rPr>
              <w:t xml:space="preserve">«Компанія з управління активами </w:t>
            </w:r>
          </w:p>
          <w:p w:rsidR="00B32EC0" w:rsidRPr="009E2812" w:rsidRDefault="00B32EC0" w:rsidP="00740513">
            <w:pPr>
              <w:rPr>
                <w:b/>
                <w:lang w:val="uk-UA"/>
              </w:rPr>
            </w:pPr>
            <w:r w:rsidRPr="009E2812">
              <w:rPr>
                <w:lang w:val="uk-UA"/>
              </w:rPr>
              <w:t>«ГАРАНТІЯ-ІНВЕСТ»</w:t>
            </w:r>
          </w:p>
        </w:tc>
      </w:tr>
      <w:tr w:rsidR="00B32EC0" w:rsidRPr="009E2812" w:rsidTr="0094486E">
        <w:tc>
          <w:tcPr>
            <w:tcW w:w="3260" w:type="dxa"/>
            <w:shd w:val="clear" w:color="FFFF00" w:fill="FFFFFF"/>
            <w:vAlign w:val="center"/>
          </w:tcPr>
          <w:p w:rsidR="00B32EC0" w:rsidRPr="009E2812" w:rsidRDefault="00B32EC0" w:rsidP="002C7EC4">
            <w:pPr>
              <w:ind w:left="72"/>
              <w:rPr>
                <w:i/>
                <w:lang w:val="uk-UA"/>
              </w:rPr>
            </w:pPr>
            <w:r w:rsidRPr="009E2812">
              <w:rPr>
                <w:i/>
                <w:lang w:val="uk-UA"/>
              </w:rPr>
              <w:t>Скорочена назва</w:t>
            </w:r>
          </w:p>
        </w:tc>
        <w:tc>
          <w:tcPr>
            <w:tcW w:w="5670" w:type="dxa"/>
            <w:vAlign w:val="center"/>
          </w:tcPr>
          <w:p w:rsidR="00B32EC0" w:rsidRPr="00611C5F" w:rsidRDefault="00B32EC0" w:rsidP="00740513">
            <w:pPr>
              <w:rPr>
                <w:lang w:val="uk-UA"/>
              </w:rPr>
            </w:pPr>
            <w:r w:rsidRPr="00611C5F">
              <w:rPr>
                <w:lang w:val="uk-UA"/>
              </w:rPr>
              <w:t>ТОВ «КУА «ГАРАНТІЯ-ІНВЕСТ»</w:t>
            </w:r>
          </w:p>
        </w:tc>
      </w:tr>
      <w:tr w:rsidR="00B32EC0" w:rsidRPr="009E2812" w:rsidTr="0094486E">
        <w:tc>
          <w:tcPr>
            <w:tcW w:w="3260" w:type="dxa"/>
            <w:shd w:val="clear" w:color="FFFF00" w:fill="FFFFFF"/>
            <w:vAlign w:val="center"/>
          </w:tcPr>
          <w:p w:rsidR="00B32EC0" w:rsidRPr="009E2812" w:rsidRDefault="00B32EC0" w:rsidP="002C7EC4">
            <w:pPr>
              <w:ind w:left="72"/>
              <w:rPr>
                <w:i/>
                <w:lang w:val="uk-UA"/>
              </w:rPr>
            </w:pPr>
            <w:r w:rsidRPr="009E2812">
              <w:rPr>
                <w:i/>
                <w:lang w:val="uk-UA"/>
              </w:rPr>
              <w:t>Код за ЄДРПОУ </w:t>
            </w:r>
          </w:p>
        </w:tc>
        <w:tc>
          <w:tcPr>
            <w:tcW w:w="5670" w:type="dxa"/>
            <w:vAlign w:val="center"/>
          </w:tcPr>
          <w:p w:rsidR="00B32EC0" w:rsidRPr="009E2812" w:rsidRDefault="00B32EC0" w:rsidP="002C7EC4">
            <w:pPr>
              <w:rPr>
                <w:lang w:val="uk-UA"/>
              </w:rPr>
            </w:pPr>
            <w:r w:rsidRPr="009E2812">
              <w:rPr>
                <w:lang w:val="uk-UA"/>
              </w:rPr>
              <w:t>33238312</w:t>
            </w:r>
          </w:p>
        </w:tc>
      </w:tr>
      <w:tr w:rsidR="00B32EC0" w:rsidRPr="009E2812" w:rsidTr="0094486E">
        <w:tc>
          <w:tcPr>
            <w:tcW w:w="3260" w:type="dxa"/>
            <w:shd w:val="clear" w:color="FFFF00" w:fill="FFFFFF"/>
            <w:vAlign w:val="center"/>
          </w:tcPr>
          <w:p w:rsidR="00B32EC0" w:rsidRPr="009E2812" w:rsidRDefault="00B32EC0" w:rsidP="002C7EC4">
            <w:pPr>
              <w:ind w:left="72"/>
              <w:rPr>
                <w:i/>
                <w:lang w:val="uk-UA"/>
              </w:rPr>
            </w:pPr>
            <w:r w:rsidRPr="009E2812">
              <w:rPr>
                <w:i/>
                <w:lang w:val="uk-UA"/>
              </w:rPr>
              <w:t>Місцезнаходження </w:t>
            </w:r>
          </w:p>
        </w:tc>
        <w:tc>
          <w:tcPr>
            <w:tcW w:w="5670" w:type="dxa"/>
            <w:vAlign w:val="center"/>
          </w:tcPr>
          <w:p w:rsidR="00B32EC0" w:rsidRPr="009E2812" w:rsidRDefault="00B32EC0" w:rsidP="002C7EC4">
            <w:pPr>
              <w:rPr>
                <w:lang w:val="uk-UA"/>
              </w:rPr>
            </w:pPr>
            <w:smartTag w:uri="urn:schemas-microsoft-com:office:smarttags" w:element="metricconverter">
              <w:smartTagPr>
                <w:attr w:name="ProductID" w:val="01030, м"/>
              </w:smartTagPr>
              <w:r w:rsidRPr="009E2812">
                <w:rPr>
                  <w:lang w:val="uk-UA"/>
                </w:rPr>
                <w:t>01030, м</w:t>
              </w:r>
            </w:smartTag>
            <w:r w:rsidRPr="009E2812">
              <w:rPr>
                <w:lang w:val="uk-UA"/>
              </w:rPr>
              <w:t>. Київ, вул. Чапаєва, будинок 12, офіс 4</w:t>
            </w:r>
          </w:p>
        </w:tc>
      </w:tr>
      <w:tr w:rsidR="00B32EC0" w:rsidRPr="009E2812" w:rsidTr="0094486E">
        <w:tc>
          <w:tcPr>
            <w:tcW w:w="3260" w:type="dxa"/>
            <w:shd w:val="clear" w:color="FFFF00" w:fill="FFFFFF"/>
            <w:vAlign w:val="center"/>
          </w:tcPr>
          <w:p w:rsidR="00B32EC0" w:rsidRPr="009E2812" w:rsidRDefault="00B32EC0" w:rsidP="00A51770">
            <w:pPr>
              <w:ind w:left="72"/>
              <w:rPr>
                <w:lang w:val="uk-UA"/>
              </w:rPr>
            </w:pPr>
            <w:r w:rsidRPr="009E2812">
              <w:rPr>
                <w:i/>
                <w:lang w:val="uk-UA"/>
              </w:rPr>
              <w:t>Дані з Виписки з Єдиного державного реєстру юридичних осіб та фізичних осіб-підприємців Державної реєстраційної служби України від 01.07.2014</w:t>
            </w:r>
          </w:p>
        </w:tc>
        <w:tc>
          <w:tcPr>
            <w:tcW w:w="5670" w:type="dxa"/>
            <w:vAlign w:val="center"/>
          </w:tcPr>
          <w:p w:rsidR="00B32EC0" w:rsidRPr="009E2812" w:rsidRDefault="00B32EC0" w:rsidP="00A51770">
            <w:pPr>
              <w:rPr>
                <w:lang w:val="uk-UA"/>
              </w:rPr>
            </w:pPr>
            <w:r w:rsidRPr="009E2812">
              <w:rPr>
                <w:lang w:val="uk-UA"/>
              </w:rPr>
              <w:t xml:space="preserve">Номер запису від 16.11.2004 р. </w:t>
            </w:r>
          </w:p>
          <w:p w:rsidR="00B32EC0" w:rsidRPr="009E2812" w:rsidRDefault="00B32EC0" w:rsidP="00A51770">
            <w:pPr>
              <w:rPr>
                <w:lang w:val="uk-UA"/>
              </w:rPr>
            </w:pPr>
            <w:r w:rsidRPr="009E2812">
              <w:rPr>
                <w:lang w:val="uk-UA"/>
              </w:rPr>
              <w:t>1 072 102 0000 001375</w:t>
            </w:r>
          </w:p>
          <w:p w:rsidR="00B32EC0" w:rsidRPr="009E2812" w:rsidRDefault="00B32EC0" w:rsidP="00A51770">
            <w:pPr>
              <w:rPr>
                <w:lang w:val="uk-UA"/>
              </w:rPr>
            </w:pPr>
          </w:p>
          <w:p w:rsidR="00B32EC0" w:rsidRPr="009E2812" w:rsidRDefault="00B32EC0" w:rsidP="00A51770">
            <w:pPr>
              <w:rPr>
                <w:lang w:val="uk-UA"/>
              </w:rPr>
            </w:pPr>
          </w:p>
        </w:tc>
      </w:tr>
      <w:tr w:rsidR="00B32EC0" w:rsidRPr="009E2812" w:rsidTr="0094486E">
        <w:tc>
          <w:tcPr>
            <w:tcW w:w="3260" w:type="dxa"/>
            <w:shd w:val="clear" w:color="FFFF00" w:fill="FFFFFF"/>
            <w:vAlign w:val="center"/>
          </w:tcPr>
          <w:p w:rsidR="00B32EC0" w:rsidRPr="009E2812" w:rsidRDefault="00B32EC0" w:rsidP="002C7EC4">
            <w:pPr>
              <w:ind w:left="72"/>
              <w:rPr>
                <w:i/>
                <w:lang w:val="uk-UA"/>
              </w:rPr>
            </w:pPr>
            <w:r w:rsidRPr="009E2812">
              <w:rPr>
                <w:i/>
                <w:lang w:val="uk-UA"/>
              </w:rPr>
              <w:t>Дата та номер рішення Держфінпослуг про внесення інформації до Державного реєстру фінансових установ</w:t>
            </w:r>
          </w:p>
        </w:tc>
        <w:tc>
          <w:tcPr>
            <w:tcW w:w="5670" w:type="dxa"/>
            <w:vAlign w:val="center"/>
          </w:tcPr>
          <w:p w:rsidR="00B32EC0" w:rsidRPr="009E2812" w:rsidRDefault="00B32EC0" w:rsidP="002C7EC4">
            <w:pPr>
              <w:rPr>
                <w:lang w:val="uk-UA"/>
              </w:rPr>
            </w:pPr>
            <w:r w:rsidRPr="009E2812">
              <w:rPr>
                <w:lang w:val="uk-UA"/>
              </w:rPr>
              <w:t>Свідоцтво Державної комісії з регулювання ринків фінансових послуг України серії АА № 32 від 15.01.2009 р., дата прийняття та номер розпорядження про схвалення рішення про видачу свідоцтва: 10.02.05 р.  № 3555</w:t>
            </w:r>
          </w:p>
        </w:tc>
      </w:tr>
      <w:tr w:rsidR="00B32EC0" w:rsidRPr="00BA7D68" w:rsidTr="0094486E">
        <w:tc>
          <w:tcPr>
            <w:tcW w:w="3260" w:type="dxa"/>
            <w:shd w:val="clear" w:color="FFFF00" w:fill="FFFFFF"/>
            <w:vAlign w:val="center"/>
          </w:tcPr>
          <w:p w:rsidR="00B32EC0" w:rsidRPr="009E2812" w:rsidRDefault="00B32EC0" w:rsidP="002C7EC4">
            <w:pPr>
              <w:ind w:left="72"/>
              <w:rPr>
                <w:i/>
                <w:lang w:val="uk-UA"/>
              </w:rPr>
            </w:pPr>
            <w:r w:rsidRPr="009E2812">
              <w:rPr>
                <w:i/>
                <w:lang w:val="uk-UA"/>
              </w:rPr>
              <w:t>Чисельність працівників на звітну дату, в тому числі кількість працівників, які мають кваліфікаційне свідоцтво фахівця з адміністрування пенсійних фондів</w:t>
            </w:r>
          </w:p>
        </w:tc>
        <w:tc>
          <w:tcPr>
            <w:tcW w:w="5670" w:type="dxa"/>
            <w:vAlign w:val="center"/>
          </w:tcPr>
          <w:p w:rsidR="00B32EC0" w:rsidRPr="00611C5F" w:rsidRDefault="00B32EC0" w:rsidP="002C7EC4">
            <w:pPr>
              <w:pStyle w:val="xfmc1"/>
              <w:spacing w:before="0" w:beforeAutospacing="0" w:after="0" w:afterAutospacing="0"/>
              <w:rPr>
                <w:sz w:val="20"/>
                <w:szCs w:val="20"/>
                <w:lang w:eastAsia="ru-RU"/>
              </w:rPr>
            </w:pPr>
            <w:r w:rsidRPr="00611C5F">
              <w:rPr>
                <w:sz w:val="20"/>
                <w:szCs w:val="20"/>
                <w:lang w:eastAsia="ru-RU"/>
              </w:rPr>
              <w:t>Всього на 31.12.14 р. обліковується  6 працівників.</w:t>
            </w:r>
          </w:p>
          <w:p w:rsidR="00B32EC0" w:rsidRPr="00611C5F" w:rsidRDefault="00B32EC0" w:rsidP="0009239D">
            <w:pPr>
              <w:pStyle w:val="xfmc1"/>
              <w:spacing w:before="0" w:beforeAutospacing="0" w:after="0" w:afterAutospacing="0"/>
              <w:rPr>
                <w:sz w:val="20"/>
                <w:szCs w:val="20"/>
                <w:lang w:eastAsia="ru-RU"/>
              </w:rPr>
            </w:pPr>
            <w:r w:rsidRPr="00611C5F">
              <w:rPr>
                <w:sz w:val="20"/>
                <w:szCs w:val="20"/>
                <w:lang w:eastAsia="ru-RU"/>
              </w:rPr>
              <w:t>Кваліфікаційне свідоцтво фахівця з адміністрування пенсійних фондів мають 4 особи.</w:t>
            </w:r>
          </w:p>
        </w:tc>
      </w:tr>
      <w:tr w:rsidR="00B32EC0" w:rsidRPr="00BA7D68" w:rsidTr="0094486E">
        <w:tc>
          <w:tcPr>
            <w:tcW w:w="3260" w:type="dxa"/>
            <w:tcBorders>
              <w:bottom w:val="threeDEngrave" w:sz="6" w:space="0" w:color="auto"/>
            </w:tcBorders>
            <w:shd w:val="clear" w:color="FFFF00" w:fill="FFFFFF"/>
            <w:vAlign w:val="center"/>
          </w:tcPr>
          <w:p w:rsidR="00B32EC0" w:rsidRPr="00611C5F" w:rsidRDefault="00B32EC0" w:rsidP="002C7EC4">
            <w:pPr>
              <w:ind w:left="72"/>
              <w:rPr>
                <w:i/>
                <w:lang w:val="uk-UA"/>
              </w:rPr>
            </w:pPr>
            <w:r w:rsidRPr="00611C5F">
              <w:rPr>
                <w:i/>
                <w:lang w:val="uk-UA"/>
              </w:rPr>
              <w:t>Номери, серії, дати видачі, термін дії ліцензій на провадження діяльності з адміністрування недержавних пенсійних фондів</w:t>
            </w:r>
          </w:p>
        </w:tc>
        <w:tc>
          <w:tcPr>
            <w:tcW w:w="5670" w:type="dxa"/>
            <w:tcBorders>
              <w:bottom w:val="threeDEngrave" w:sz="6" w:space="0" w:color="auto"/>
            </w:tcBorders>
            <w:vAlign w:val="center"/>
          </w:tcPr>
          <w:p w:rsidR="00B32EC0" w:rsidRPr="00611C5F" w:rsidRDefault="00B32EC0" w:rsidP="00474B78">
            <w:pPr>
              <w:ind w:left="72"/>
              <w:rPr>
                <w:lang w:val="uk-UA"/>
              </w:rPr>
            </w:pPr>
            <w:r w:rsidRPr="00611C5F">
              <w:rPr>
                <w:bCs/>
                <w:lang w:val="uk-UA"/>
              </w:rPr>
              <w:t>Ліцензія на провадження діяльності з адміністрування недержавних пенсійних фондів серія АБ № 115993, видана Національною комісією з регулювання ринків фінансових послуг України 29.12.2008 р. строк дії ліцензії з 24.04.2008 – безстроковий</w:t>
            </w:r>
          </w:p>
        </w:tc>
      </w:tr>
    </w:tbl>
    <w:p w:rsidR="00B32EC0" w:rsidRPr="00913760" w:rsidRDefault="00B32EC0" w:rsidP="002C7EC4">
      <w:pPr>
        <w:outlineLvl w:val="1"/>
        <w:rPr>
          <w:b/>
          <w:sz w:val="22"/>
          <w:szCs w:val="22"/>
          <w:lang w:val="uk-UA"/>
        </w:rPr>
      </w:pPr>
    </w:p>
    <w:p w:rsidR="00B32EC0" w:rsidRPr="00913760" w:rsidRDefault="00B32EC0" w:rsidP="002C7EC4">
      <w:pPr>
        <w:outlineLvl w:val="1"/>
        <w:rPr>
          <w:b/>
          <w:sz w:val="22"/>
          <w:szCs w:val="22"/>
          <w:lang w:val="uk-UA"/>
        </w:rPr>
      </w:pPr>
    </w:p>
    <w:p w:rsidR="00B32EC0" w:rsidRPr="00913760" w:rsidRDefault="00B32EC0" w:rsidP="004F1013">
      <w:pPr>
        <w:jc w:val="center"/>
        <w:outlineLvl w:val="1"/>
        <w:rPr>
          <w:b/>
          <w:sz w:val="22"/>
          <w:szCs w:val="22"/>
          <w:lang w:val="uk-UA"/>
        </w:rPr>
      </w:pPr>
      <w:r w:rsidRPr="00913760">
        <w:rPr>
          <w:b/>
          <w:sz w:val="22"/>
          <w:szCs w:val="22"/>
          <w:lang w:val="uk-UA"/>
        </w:rPr>
        <w:t>Компанією з управління активами ВПФ «ФАРМАЦЕВТИЧНИЙ» є:</w:t>
      </w:r>
    </w:p>
    <w:p w:rsidR="00B32EC0" w:rsidRPr="00913760" w:rsidRDefault="00B32EC0" w:rsidP="002C7EC4">
      <w:pPr>
        <w:outlineLvl w:val="1"/>
        <w:rPr>
          <w:b/>
          <w:sz w:val="22"/>
          <w:szCs w:val="22"/>
          <w:lang w:val="uk-UA"/>
        </w:rPr>
      </w:pPr>
    </w:p>
    <w:tbl>
      <w:tblPr>
        <w:tblW w:w="8930" w:type="dxa"/>
        <w:tblInd w:w="817"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3260"/>
        <w:gridCol w:w="5670"/>
      </w:tblGrid>
      <w:tr w:rsidR="00B32EC0" w:rsidRPr="009E2812" w:rsidTr="0094486E">
        <w:tc>
          <w:tcPr>
            <w:tcW w:w="3260" w:type="dxa"/>
            <w:tcBorders>
              <w:top w:val="threeDEngrave" w:sz="6" w:space="0" w:color="auto"/>
            </w:tcBorders>
            <w:shd w:val="clear" w:color="FFFF00" w:fill="FFFFFF"/>
            <w:vAlign w:val="center"/>
          </w:tcPr>
          <w:p w:rsidR="00B32EC0" w:rsidRPr="00611C5F" w:rsidRDefault="00B32EC0" w:rsidP="002C7EC4">
            <w:pPr>
              <w:ind w:left="72"/>
              <w:rPr>
                <w:i/>
                <w:lang w:val="uk-UA"/>
              </w:rPr>
            </w:pPr>
            <w:r w:rsidRPr="00611C5F">
              <w:rPr>
                <w:i/>
                <w:lang w:val="uk-UA"/>
              </w:rPr>
              <w:t>Повне найменування </w:t>
            </w:r>
          </w:p>
        </w:tc>
        <w:tc>
          <w:tcPr>
            <w:tcW w:w="5670" w:type="dxa"/>
            <w:tcBorders>
              <w:top w:val="threeDEngrave" w:sz="6" w:space="0" w:color="auto"/>
            </w:tcBorders>
            <w:vAlign w:val="center"/>
          </w:tcPr>
          <w:p w:rsidR="00B32EC0" w:rsidRPr="00611C5F" w:rsidRDefault="00B32EC0" w:rsidP="00A51770">
            <w:pPr>
              <w:ind w:left="72"/>
              <w:rPr>
                <w:lang w:val="uk-UA"/>
              </w:rPr>
            </w:pPr>
            <w:r w:rsidRPr="00611C5F">
              <w:rPr>
                <w:lang w:val="uk-UA"/>
              </w:rPr>
              <w:t xml:space="preserve">Товариство з обмеженою відповідальністю </w:t>
            </w:r>
          </w:p>
          <w:p w:rsidR="00B32EC0" w:rsidRPr="00611C5F" w:rsidRDefault="00B32EC0" w:rsidP="00A51770">
            <w:pPr>
              <w:ind w:left="72"/>
              <w:rPr>
                <w:lang w:val="uk-UA"/>
              </w:rPr>
            </w:pPr>
            <w:r w:rsidRPr="00611C5F">
              <w:rPr>
                <w:lang w:val="uk-UA"/>
              </w:rPr>
              <w:t xml:space="preserve">«Компанія з управління активами </w:t>
            </w:r>
          </w:p>
          <w:p w:rsidR="00B32EC0" w:rsidRPr="00611C5F" w:rsidRDefault="00B32EC0" w:rsidP="00A51770">
            <w:pPr>
              <w:rPr>
                <w:b/>
                <w:lang w:val="uk-UA"/>
              </w:rPr>
            </w:pPr>
            <w:r w:rsidRPr="00611C5F">
              <w:rPr>
                <w:lang w:val="uk-UA"/>
              </w:rPr>
              <w:t>«ГАРАНТІЯ-ІНВЕСТ»</w:t>
            </w:r>
          </w:p>
        </w:tc>
      </w:tr>
      <w:tr w:rsidR="00B32EC0" w:rsidRPr="009E2812" w:rsidTr="0094486E">
        <w:tc>
          <w:tcPr>
            <w:tcW w:w="3260" w:type="dxa"/>
            <w:shd w:val="clear" w:color="FFFF00" w:fill="FFFFFF"/>
            <w:vAlign w:val="center"/>
          </w:tcPr>
          <w:p w:rsidR="00B32EC0" w:rsidRPr="00611C5F" w:rsidRDefault="00B32EC0" w:rsidP="002C7EC4">
            <w:pPr>
              <w:ind w:left="72"/>
              <w:rPr>
                <w:i/>
                <w:lang w:val="uk-UA"/>
              </w:rPr>
            </w:pPr>
            <w:r w:rsidRPr="00611C5F">
              <w:rPr>
                <w:i/>
                <w:lang w:val="uk-UA"/>
              </w:rPr>
              <w:t>Скорочена назва</w:t>
            </w:r>
          </w:p>
        </w:tc>
        <w:tc>
          <w:tcPr>
            <w:tcW w:w="5670" w:type="dxa"/>
            <w:vAlign w:val="center"/>
          </w:tcPr>
          <w:p w:rsidR="00B32EC0" w:rsidRPr="00611C5F" w:rsidRDefault="00B32EC0" w:rsidP="00A51770">
            <w:pPr>
              <w:rPr>
                <w:lang w:val="uk-UA"/>
              </w:rPr>
            </w:pPr>
            <w:r w:rsidRPr="00611C5F">
              <w:rPr>
                <w:lang w:val="uk-UA"/>
              </w:rPr>
              <w:t>ТОВ «КУА «ГАРАНТІЯ-ІНВЕСТ»</w:t>
            </w:r>
          </w:p>
        </w:tc>
      </w:tr>
      <w:tr w:rsidR="00B32EC0" w:rsidRPr="009E2812" w:rsidTr="0094486E">
        <w:tc>
          <w:tcPr>
            <w:tcW w:w="3260" w:type="dxa"/>
            <w:shd w:val="clear" w:color="FFFF00" w:fill="FFFFFF"/>
            <w:vAlign w:val="center"/>
          </w:tcPr>
          <w:p w:rsidR="00B32EC0" w:rsidRPr="00611C5F" w:rsidRDefault="00B32EC0" w:rsidP="002C7EC4">
            <w:pPr>
              <w:ind w:left="72"/>
              <w:rPr>
                <w:i/>
                <w:lang w:val="uk-UA"/>
              </w:rPr>
            </w:pPr>
            <w:r w:rsidRPr="00611C5F">
              <w:rPr>
                <w:i/>
                <w:lang w:val="uk-UA"/>
              </w:rPr>
              <w:t>Код за ЄДРПОУ </w:t>
            </w:r>
          </w:p>
        </w:tc>
        <w:tc>
          <w:tcPr>
            <w:tcW w:w="5670" w:type="dxa"/>
            <w:vAlign w:val="center"/>
          </w:tcPr>
          <w:p w:rsidR="00B32EC0" w:rsidRPr="00611C5F" w:rsidRDefault="00B32EC0" w:rsidP="00A51770">
            <w:pPr>
              <w:rPr>
                <w:lang w:val="uk-UA"/>
              </w:rPr>
            </w:pPr>
            <w:r w:rsidRPr="00611C5F">
              <w:rPr>
                <w:lang w:val="uk-UA"/>
              </w:rPr>
              <w:t>33238312</w:t>
            </w:r>
          </w:p>
        </w:tc>
      </w:tr>
      <w:tr w:rsidR="00B32EC0" w:rsidRPr="009E2812" w:rsidTr="0094486E">
        <w:tc>
          <w:tcPr>
            <w:tcW w:w="3260" w:type="dxa"/>
            <w:shd w:val="clear" w:color="FFFF00" w:fill="FFFFFF"/>
            <w:vAlign w:val="center"/>
          </w:tcPr>
          <w:p w:rsidR="00B32EC0" w:rsidRPr="00611C5F" w:rsidRDefault="00B32EC0" w:rsidP="002C7EC4">
            <w:pPr>
              <w:ind w:left="72"/>
              <w:rPr>
                <w:i/>
                <w:lang w:val="uk-UA"/>
              </w:rPr>
            </w:pPr>
            <w:r w:rsidRPr="00611C5F">
              <w:rPr>
                <w:i/>
                <w:lang w:val="uk-UA"/>
              </w:rPr>
              <w:t>Місцезнаходження </w:t>
            </w:r>
          </w:p>
        </w:tc>
        <w:tc>
          <w:tcPr>
            <w:tcW w:w="5670" w:type="dxa"/>
            <w:vAlign w:val="center"/>
          </w:tcPr>
          <w:p w:rsidR="00B32EC0" w:rsidRPr="00611C5F" w:rsidRDefault="00B32EC0" w:rsidP="00A51770">
            <w:pPr>
              <w:rPr>
                <w:lang w:val="uk-UA"/>
              </w:rPr>
            </w:pPr>
            <w:smartTag w:uri="urn:schemas-microsoft-com:office:smarttags" w:element="metricconverter">
              <w:smartTagPr>
                <w:attr w:name="ProductID" w:val="01030, м"/>
              </w:smartTagPr>
              <w:r w:rsidRPr="00611C5F">
                <w:rPr>
                  <w:lang w:val="uk-UA"/>
                </w:rPr>
                <w:t>01030, м</w:t>
              </w:r>
            </w:smartTag>
            <w:r w:rsidRPr="00611C5F">
              <w:rPr>
                <w:lang w:val="uk-UA"/>
              </w:rPr>
              <w:t>. Київ, вул. Чапаєва, будинок 12, офіс 4</w:t>
            </w:r>
          </w:p>
        </w:tc>
      </w:tr>
      <w:tr w:rsidR="00B32EC0" w:rsidRPr="009E2812" w:rsidTr="0094486E">
        <w:tc>
          <w:tcPr>
            <w:tcW w:w="3260" w:type="dxa"/>
            <w:shd w:val="clear" w:color="FFFF00" w:fill="FFFFFF"/>
            <w:vAlign w:val="center"/>
          </w:tcPr>
          <w:p w:rsidR="00B32EC0" w:rsidRPr="00611C5F" w:rsidRDefault="00B32EC0" w:rsidP="002C7EC4">
            <w:pPr>
              <w:ind w:left="72"/>
              <w:rPr>
                <w:i/>
                <w:lang w:val="uk-UA"/>
              </w:rPr>
            </w:pPr>
            <w:r w:rsidRPr="00611C5F">
              <w:rPr>
                <w:i/>
                <w:lang w:val="uk-UA"/>
              </w:rPr>
              <w:t>Дата державної реєстрації</w:t>
            </w:r>
          </w:p>
        </w:tc>
        <w:tc>
          <w:tcPr>
            <w:tcW w:w="5670" w:type="dxa"/>
            <w:vAlign w:val="center"/>
          </w:tcPr>
          <w:p w:rsidR="00B32EC0" w:rsidRPr="00611C5F" w:rsidRDefault="00B32EC0" w:rsidP="0009239D">
            <w:pPr>
              <w:rPr>
                <w:lang w:val="uk-UA"/>
              </w:rPr>
            </w:pPr>
            <w:r w:rsidRPr="00611C5F">
              <w:rPr>
                <w:lang w:val="uk-UA"/>
              </w:rPr>
              <w:t xml:space="preserve">16.11.2004 р. </w:t>
            </w:r>
          </w:p>
          <w:p w:rsidR="00B32EC0" w:rsidRPr="00611C5F" w:rsidRDefault="00B32EC0" w:rsidP="0009239D">
            <w:pPr>
              <w:rPr>
                <w:lang w:val="uk-UA"/>
              </w:rPr>
            </w:pPr>
            <w:r w:rsidRPr="00611C5F">
              <w:rPr>
                <w:lang w:val="uk-UA"/>
              </w:rPr>
              <w:t>1 072 102 0000 001375</w:t>
            </w:r>
          </w:p>
        </w:tc>
      </w:tr>
      <w:tr w:rsidR="00B32EC0" w:rsidRPr="009E2812" w:rsidTr="0094486E">
        <w:tc>
          <w:tcPr>
            <w:tcW w:w="3260" w:type="dxa"/>
            <w:shd w:val="clear" w:color="FFFF00" w:fill="FFFFFF"/>
            <w:vAlign w:val="center"/>
          </w:tcPr>
          <w:p w:rsidR="00B32EC0" w:rsidRPr="00611C5F" w:rsidRDefault="00B32EC0" w:rsidP="00423C32">
            <w:pPr>
              <w:ind w:left="72"/>
              <w:rPr>
                <w:i/>
                <w:lang w:val="uk-UA"/>
              </w:rPr>
            </w:pPr>
            <w:r w:rsidRPr="00611C5F">
              <w:rPr>
                <w:i/>
                <w:lang w:val="uk-UA"/>
              </w:rPr>
              <w:t>Дата та номер рішення Держфінпослуг про внесення інформації до Державного реєстру фінансових установ</w:t>
            </w:r>
          </w:p>
        </w:tc>
        <w:tc>
          <w:tcPr>
            <w:tcW w:w="5670" w:type="dxa"/>
            <w:vAlign w:val="center"/>
          </w:tcPr>
          <w:p w:rsidR="00B32EC0" w:rsidRPr="00611C5F" w:rsidRDefault="00B32EC0" w:rsidP="00423C32">
            <w:pPr>
              <w:rPr>
                <w:lang w:val="uk-UA"/>
              </w:rPr>
            </w:pPr>
            <w:r w:rsidRPr="00611C5F">
              <w:rPr>
                <w:lang w:val="uk-UA"/>
              </w:rPr>
              <w:t>Свідоцтво Державної комісії з регулювання ринків фінансових послуг України серії АА № 32 від 15.01.2009 р., дата прийняття та номер розпорядження про схвалення рішення про видачу свідоцтва: 10.02.05 р.  № 3555</w:t>
            </w:r>
          </w:p>
        </w:tc>
      </w:tr>
      <w:tr w:rsidR="00B32EC0" w:rsidRPr="00BA7D68" w:rsidTr="0094486E">
        <w:tc>
          <w:tcPr>
            <w:tcW w:w="3260" w:type="dxa"/>
            <w:tcBorders>
              <w:bottom w:val="threeDEngrave" w:sz="6" w:space="0" w:color="auto"/>
            </w:tcBorders>
            <w:shd w:val="clear" w:color="FFFF00" w:fill="FFFFFF"/>
            <w:vAlign w:val="center"/>
          </w:tcPr>
          <w:p w:rsidR="00B32EC0" w:rsidRPr="00611C5F" w:rsidRDefault="00B32EC0" w:rsidP="002C7EC4">
            <w:pPr>
              <w:ind w:left="72"/>
              <w:rPr>
                <w:i/>
                <w:lang w:val="uk-UA"/>
              </w:rPr>
            </w:pPr>
            <w:r w:rsidRPr="00611C5F">
              <w:rPr>
                <w:i/>
                <w:lang w:val="uk-UA"/>
              </w:rPr>
              <w:t>Ліцензія Національної комісії з цінних паперів та фондового ринку на здійснення професійної діяльності на ринку цінних паперів – діяльності з управління активами</w:t>
            </w:r>
          </w:p>
        </w:tc>
        <w:tc>
          <w:tcPr>
            <w:tcW w:w="5670" w:type="dxa"/>
            <w:tcBorders>
              <w:bottom w:val="threeDEngrave" w:sz="6" w:space="0" w:color="auto"/>
            </w:tcBorders>
            <w:vAlign w:val="center"/>
          </w:tcPr>
          <w:p w:rsidR="00B32EC0" w:rsidRPr="00611C5F" w:rsidRDefault="00B32EC0" w:rsidP="002C7EC4">
            <w:pPr>
              <w:rPr>
                <w:lang w:val="uk-UA"/>
              </w:rPr>
            </w:pPr>
            <w:r w:rsidRPr="00611C5F">
              <w:rPr>
                <w:lang w:val="uk-UA"/>
              </w:rPr>
              <w:t>Ліцензія Державної комісії з цінних паперів та фондового ринку серії АВ № 507149 від 29.12.2009 р. на професійну діяльність на фондовому ринку – діяльність з управління активами інституційних інвесторів (діяльність з управління активами), строк дії: 29.12.2009– 29.12.2014;</w:t>
            </w:r>
          </w:p>
          <w:p w:rsidR="00B32EC0" w:rsidRPr="00611C5F" w:rsidRDefault="00B32EC0" w:rsidP="002C7EC4">
            <w:pPr>
              <w:rPr>
                <w:lang w:val="uk-UA"/>
              </w:rPr>
            </w:pPr>
            <w:r w:rsidRPr="00611C5F">
              <w:rPr>
                <w:lang w:val="uk-UA"/>
              </w:rPr>
              <w:t>Ліцензія Національної комісії з цінних паперів та фондового ринку серії АЕ № 294656 від 30.12.2014 р. на професійну діяльність на фондовому ринку – діяльність з управління активами інституційних інвесторів (діяльність з управління активами), строк дії: 30.12.2014– необмежений</w:t>
            </w:r>
          </w:p>
        </w:tc>
      </w:tr>
    </w:tbl>
    <w:p w:rsidR="00B32EC0" w:rsidRPr="009E2812" w:rsidRDefault="00B32EC0" w:rsidP="002C7EC4">
      <w:pPr>
        <w:pStyle w:val="BodyTextIndent"/>
        <w:ind w:firstLine="709"/>
        <w:rPr>
          <w:rFonts w:ascii="Times New Roman" w:hAnsi="Times New Roman"/>
          <w:highlight w:val="yellow"/>
          <w:lang w:val="uk-UA"/>
        </w:rPr>
      </w:pPr>
    </w:p>
    <w:p w:rsidR="00B32EC0" w:rsidRPr="009E2812" w:rsidRDefault="00B32EC0" w:rsidP="002C7EC4">
      <w:pPr>
        <w:ind w:left="360" w:firstLine="348"/>
        <w:jc w:val="both"/>
        <w:rPr>
          <w:i/>
          <w:sz w:val="24"/>
          <w:szCs w:val="24"/>
          <w:lang w:val="uk-UA"/>
        </w:rPr>
      </w:pPr>
    </w:p>
    <w:p w:rsidR="00B32EC0" w:rsidRPr="00BA7D68" w:rsidRDefault="00B32EC0" w:rsidP="002C7EC4">
      <w:pPr>
        <w:ind w:left="360" w:firstLine="348"/>
        <w:jc w:val="both"/>
        <w:rPr>
          <w:i/>
          <w:sz w:val="24"/>
          <w:szCs w:val="24"/>
          <w:lang w:val="uk-UA"/>
        </w:rPr>
      </w:pPr>
    </w:p>
    <w:p w:rsidR="00B32EC0" w:rsidRPr="009E2812" w:rsidRDefault="00B32EC0" w:rsidP="002C7EC4">
      <w:pPr>
        <w:ind w:left="360" w:firstLine="348"/>
        <w:jc w:val="both"/>
        <w:rPr>
          <w:i/>
          <w:sz w:val="24"/>
          <w:szCs w:val="24"/>
          <w:lang w:val="uk-UA"/>
        </w:rPr>
      </w:pPr>
      <w:r w:rsidRPr="009E2812">
        <w:rPr>
          <w:i/>
          <w:sz w:val="24"/>
          <w:szCs w:val="24"/>
          <w:lang w:val="uk-UA"/>
        </w:rPr>
        <w:t>Відповідальні за фінансово-господарську діяльність Фонду:</w:t>
      </w:r>
    </w:p>
    <w:p w:rsidR="00B32EC0" w:rsidRPr="009E2812" w:rsidRDefault="00B32EC0" w:rsidP="002C7EC4">
      <w:pPr>
        <w:ind w:left="360"/>
        <w:jc w:val="both"/>
        <w:rPr>
          <w:sz w:val="10"/>
          <w:szCs w:val="10"/>
          <w:lang w:val="uk-UA"/>
        </w:rPr>
      </w:pPr>
    </w:p>
    <w:p w:rsidR="00B32EC0" w:rsidRPr="009E2812" w:rsidRDefault="00B32EC0" w:rsidP="002C7EC4">
      <w:pPr>
        <w:ind w:left="360"/>
        <w:jc w:val="both"/>
        <w:rPr>
          <w:sz w:val="10"/>
          <w:szCs w:val="10"/>
          <w:lang w:val="uk-UA"/>
        </w:rPr>
      </w:pPr>
    </w:p>
    <w:p w:rsidR="00B32EC0" w:rsidRPr="009E2812" w:rsidRDefault="00B32EC0" w:rsidP="002C7EC4">
      <w:pPr>
        <w:numPr>
          <w:ilvl w:val="0"/>
          <w:numId w:val="14"/>
        </w:numPr>
        <w:tabs>
          <w:tab w:val="clear" w:pos="720"/>
          <w:tab w:val="num" w:pos="1080"/>
        </w:tabs>
        <w:ind w:left="1080"/>
        <w:jc w:val="both"/>
        <w:rPr>
          <w:sz w:val="24"/>
          <w:szCs w:val="24"/>
          <w:lang w:val="uk-UA"/>
        </w:rPr>
      </w:pPr>
      <w:r w:rsidRPr="009E2812">
        <w:rPr>
          <w:sz w:val="24"/>
          <w:szCs w:val="24"/>
          <w:lang w:val="uk-UA"/>
        </w:rPr>
        <w:t xml:space="preserve">Директор ТОВ «КУА «ГАРАНТІЯ-ІНВЕСТ» – </w:t>
      </w:r>
      <w:r w:rsidRPr="009E2812">
        <w:rPr>
          <w:i/>
          <w:sz w:val="24"/>
          <w:szCs w:val="24"/>
          <w:lang w:val="uk-UA"/>
        </w:rPr>
        <w:t>Зелинський Антон Олександрович</w:t>
      </w:r>
      <w:r w:rsidRPr="009E2812">
        <w:rPr>
          <w:sz w:val="24"/>
          <w:szCs w:val="24"/>
          <w:lang w:val="uk-UA"/>
        </w:rPr>
        <w:t xml:space="preserve">, призначений на посаду загальними зборами учасників ТОВ </w:t>
      </w:r>
      <w:r w:rsidRPr="009E2812">
        <w:rPr>
          <w:sz w:val="24"/>
          <w:szCs w:val="24"/>
          <w:lang w:val="uk-UA" w:eastAsia="uk-UA"/>
        </w:rPr>
        <w:t>«КУА «</w:t>
      </w:r>
      <w:r w:rsidRPr="009E2812">
        <w:rPr>
          <w:sz w:val="24"/>
          <w:szCs w:val="24"/>
          <w:lang w:val="uk-UA"/>
        </w:rPr>
        <w:t>ГАРАНТІЯ-ІНВЕСТ</w:t>
      </w:r>
      <w:r w:rsidRPr="009E2812">
        <w:rPr>
          <w:sz w:val="24"/>
          <w:szCs w:val="24"/>
          <w:lang w:val="uk-UA" w:eastAsia="uk-UA"/>
        </w:rPr>
        <w:t xml:space="preserve">» </w:t>
      </w:r>
      <w:r w:rsidRPr="009E2812">
        <w:rPr>
          <w:sz w:val="24"/>
          <w:szCs w:val="24"/>
          <w:lang w:val="uk-UA"/>
        </w:rPr>
        <w:t>(протокол № 27 від 01 березня 2</w:t>
      </w:r>
      <w:r>
        <w:rPr>
          <w:sz w:val="24"/>
          <w:szCs w:val="24"/>
          <w:lang w:val="uk-UA"/>
        </w:rPr>
        <w:t>011 року та наказ № 133 від 01.</w:t>
      </w:r>
      <w:r w:rsidRPr="009E2812">
        <w:rPr>
          <w:sz w:val="24"/>
          <w:szCs w:val="24"/>
          <w:lang w:val="uk-UA"/>
        </w:rPr>
        <w:t>03.2011 р.) – з 01 березня 2011 року по теперішній час.</w:t>
      </w:r>
    </w:p>
    <w:p w:rsidR="00B32EC0" w:rsidRPr="009E2812" w:rsidRDefault="00B32EC0" w:rsidP="002C7EC4">
      <w:pPr>
        <w:ind w:left="1080"/>
        <w:jc w:val="both"/>
        <w:rPr>
          <w:sz w:val="10"/>
          <w:szCs w:val="10"/>
          <w:lang w:val="uk-UA"/>
        </w:rPr>
      </w:pPr>
    </w:p>
    <w:p w:rsidR="00B32EC0" w:rsidRPr="009E2812" w:rsidRDefault="00B32EC0" w:rsidP="002C7EC4">
      <w:pPr>
        <w:ind w:left="1080"/>
        <w:jc w:val="both"/>
        <w:rPr>
          <w:sz w:val="10"/>
          <w:szCs w:val="10"/>
          <w:lang w:val="uk-UA"/>
        </w:rPr>
      </w:pPr>
    </w:p>
    <w:p w:rsidR="00B32EC0" w:rsidRPr="009E2812" w:rsidRDefault="00B32EC0" w:rsidP="002C7EC4">
      <w:pPr>
        <w:numPr>
          <w:ilvl w:val="0"/>
          <w:numId w:val="14"/>
        </w:numPr>
        <w:tabs>
          <w:tab w:val="clear" w:pos="720"/>
          <w:tab w:val="num" w:pos="1080"/>
        </w:tabs>
        <w:ind w:left="1080"/>
        <w:jc w:val="both"/>
        <w:rPr>
          <w:sz w:val="24"/>
          <w:szCs w:val="24"/>
          <w:lang w:val="uk-UA"/>
        </w:rPr>
      </w:pPr>
      <w:r w:rsidRPr="009E2812">
        <w:rPr>
          <w:sz w:val="24"/>
          <w:szCs w:val="24"/>
          <w:lang w:val="uk-UA"/>
        </w:rPr>
        <w:t xml:space="preserve">Головний бухгалтер  ТОВ «КУА «ГАРАНТІЯ-ІНВЕСТ» - </w:t>
      </w:r>
      <w:r w:rsidRPr="009E2812">
        <w:rPr>
          <w:i/>
          <w:sz w:val="24"/>
          <w:szCs w:val="24"/>
          <w:lang w:val="uk-UA"/>
        </w:rPr>
        <w:t>Козаченко Валентина Денисівна</w:t>
      </w:r>
      <w:r w:rsidRPr="009E2812">
        <w:rPr>
          <w:sz w:val="24"/>
          <w:szCs w:val="24"/>
          <w:lang w:val="uk-UA"/>
        </w:rPr>
        <w:t xml:space="preserve"> – призначена на посаду наказом № 2-К від 16.11.2004 р. (по теперішній час).</w:t>
      </w:r>
    </w:p>
    <w:p w:rsidR="00B32EC0" w:rsidRPr="009E2812" w:rsidRDefault="00B32EC0" w:rsidP="002C7EC4">
      <w:pPr>
        <w:ind w:firstLine="709"/>
        <w:jc w:val="both"/>
        <w:rPr>
          <w:highlight w:val="yellow"/>
          <w:lang w:val="uk-UA"/>
        </w:rPr>
      </w:pPr>
    </w:p>
    <w:p w:rsidR="00B32EC0" w:rsidRPr="009E2812" w:rsidRDefault="00B32EC0" w:rsidP="002C7EC4">
      <w:pPr>
        <w:ind w:firstLine="709"/>
        <w:jc w:val="both"/>
        <w:rPr>
          <w:highlight w:val="yellow"/>
          <w:lang w:val="uk-UA"/>
        </w:rPr>
      </w:pPr>
    </w:p>
    <w:p w:rsidR="00B32EC0" w:rsidRPr="009E2812" w:rsidRDefault="00B32EC0" w:rsidP="002C7EC4">
      <w:pPr>
        <w:numPr>
          <w:ilvl w:val="1"/>
          <w:numId w:val="13"/>
        </w:numPr>
        <w:ind w:left="709" w:hanging="796"/>
        <w:jc w:val="both"/>
        <w:rPr>
          <w:i/>
          <w:sz w:val="24"/>
          <w:szCs w:val="24"/>
          <w:lang w:val="uk-UA"/>
        </w:rPr>
      </w:pPr>
      <w:r w:rsidRPr="009E2812">
        <w:rPr>
          <w:i/>
          <w:sz w:val="24"/>
          <w:szCs w:val="24"/>
          <w:lang w:val="uk-UA"/>
        </w:rPr>
        <w:t xml:space="preserve">Відповідальність управлінського персоналу Адміністратора </w:t>
      </w:r>
    </w:p>
    <w:p w:rsidR="00B32EC0" w:rsidRPr="009E2812" w:rsidRDefault="00B32EC0" w:rsidP="002C7EC4">
      <w:pPr>
        <w:ind w:left="1080" w:hanging="372"/>
        <w:jc w:val="both"/>
        <w:rPr>
          <w:lang w:val="uk-UA"/>
        </w:rPr>
      </w:pPr>
      <w:r w:rsidRPr="009E2812">
        <w:rPr>
          <w:i/>
          <w:sz w:val="24"/>
          <w:szCs w:val="24"/>
          <w:lang w:val="uk-UA"/>
        </w:rPr>
        <w:t xml:space="preserve">та членів ради недержавного пенсійного фонду </w:t>
      </w:r>
    </w:p>
    <w:p w:rsidR="00B32EC0" w:rsidRPr="009E2812" w:rsidRDefault="00B32EC0" w:rsidP="002C7EC4">
      <w:pPr>
        <w:suppressAutoHyphens/>
        <w:ind w:left="720"/>
        <w:jc w:val="both"/>
        <w:rPr>
          <w:sz w:val="24"/>
          <w:szCs w:val="24"/>
          <w:lang w:val="uk-UA" w:eastAsia="zh-CN"/>
        </w:rPr>
      </w:pPr>
    </w:p>
    <w:p w:rsidR="00B32EC0" w:rsidRPr="009E2812" w:rsidRDefault="00B32EC0" w:rsidP="002C7EC4">
      <w:pPr>
        <w:suppressAutoHyphens/>
        <w:ind w:left="720"/>
        <w:jc w:val="both"/>
        <w:rPr>
          <w:sz w:val="24"/>
          <w:szCs w:val="24"/>
          <w:lang w:val="uk-UA" w:eastAsia="zh-CN"/>
        </w:rPr>
      </w:pPr>
      <w:r w:rsidRPr="009E2812">
        <w:rPr>
          <w:sz w:val="24"/>
          <w:szCs w:val="24"/>
          <w:lang w:val="uk-UA" w:eastAsia="zh-CN"/>
        </w:rPr>
        <w:t>Управлінський персонал Адміністратора відповідно до умов Договору про  адміністрування пенсійного фонду від 01.04.2013 р. несе відповідальність за підготовку та достовірне представлення цих фінансових звітів у відповідності до Міжнародних стандартів фінансової звітності (МСФЗ) згідно з концептуальною основою спеціального призначення, описаною далі, в межах обсягу інформації, що має подаватись до Національній комісії, що здійснює державне регулювання у сфері ринків фінансових послуг. Відповідальність управлінського персоналу охоплює: розробку, впровадження та використання внутрішнього контролю стосовно підготовки та достовірного представлення фінансових звітів та спеціальної звітності, які не містять суттєвих викривлень внаслідок шахрайства або помилки; вибір та застосування облікової політики, а також облікових оцінок, які відповідають обставинам.</w:t>
      </w:r>
    </w:p>
    <w:p w:rsidR="00B32EC0" w:rsidRPr="009E2812" w:rsidRDefault="00B32EC0" w:rsidP="002C7EC4">
      <w:pPr>
        <w:suppressAutoHyphens/>
        <w:ind w:left="720"/>
        <w:jc w:val="both"/>
        <w:rPr>
          <w:sz w:val="24"/>
          <w:szCs w:val="24"/>
          <w:lang w:val="uk-UA" w:eastAsia="zh-CN"/>
        </w:rPr>
      </w:pPr>
      <w:r w:rsidRPr="009E2812">
        <w:rPr>
          <w:sz w:val="24"/>
          <w:szCs w:val="24"/>
          <w:lang w:val="uk-UA" w:eastAsia="zh-CN"/>
        </w:rPr>
        <w:t>Рада ВПФ «ФАРМАЦЕВТИЧНИЙ» здійснює контроль за поточною діяльністю пенсійного фонду і вирішення основних питань його роботи</w:t>
      </w:r>
    </w:p>
    <w:p w:rsidR="00B32EC0" w:rsidRPr="009E2812" w:rsidRDefault="00B32EC0" w:rsidP="002C7EC4">
      <w:pPr>
        <w:ind w:firstLine="709"/>
        <w:rPr>
          <w:i/>
          <w:lang w:val="uk-UA"/>
        </w:rPr>
      </w:pPr>
    </w:p>
    <w:p w:rsidR="00B32EC0" w:rsidRPr="009E2812" w:rsidRDefault="00B32EC0" w:rsidP="002C7EC4">
      <w:pPr>
        <w:ind w:firstLine="709"/>
        <w:rPr>
          <w:i/>
          <w:lang w:val="uk-UA"/>
        </w:rPr>
      </w:pPr>
    </w:p>
    <w:p w:rsidR="00B32EC0" w:rsidRPr="009E2812" w:rsidRDefault="00B32EC0" w:rsidP="002C7EC4">
      <w:pPr>
        <w:numPr>
          <w:ilvl w:val="1"/>
          <w:numId w:val="13"/>
        </w:numPr>
        <w:ind w:left="709" w:hanging="796"/>
        <w:jc w:val="both"/>
        <w:rPr>
          <w:i/>
          <w:sz w:val="24"/>
          <w:szCs w:val="24"/>
          <w:lang w:val="uk-UA"/>
        </w:rPr>
      </w:pPr>
      <w:r w:rsidRPr="009E2812">
        <w:rPr>
          <w:i/>
          <w:sz w:val="24"/>
          <w:szCs w:val="24"/>
          <w:lang w:val="uk-UA"/>
        </w:rPr>
        <w:t>Відповідальність аудитора</w:t>
      </w:r>
    </w:p>
    <w:p w:rsidR="00B32EC0" w:rsidRPr="009E2812" w:rsidRDefault="00B32EC0" w:rsidP="002C7EC4">
      <w:pPr>
        <w:suppressAutoHyphens/>
        <w:ind w:left="720"/>
        <w:jc w:val="both"/>
        <w:rPr>
          <w:sz w:val="10"/>
          <w:szCs w:val="10"/>
          <w:lang w:val="uk-UA" w:eastAsia="zh-CN"/>
        </w:rPr>
      </w:pPr>
    </w:p>
    <w:p w:rsidR="00B32EC0" w:rsidRPr="009E2812" w:rsidRDefault="00B32EC0" w:rsidP="002C7EC4">
      <w:pPr>
        <w:suppressAutoHyphens/>
        <w:ind w:left="720"/>
        <w:jc w:val="both"/>
        <w:rPr>
          <w:sz w:val="24"/>
          <w:szCs w:val="24"/>
          <w:lang w:val="uk-UA" w:eastAsia="zh-CN"/>
        </w:rPr>
      </w:pPr>
      <w:r w:rsidRPr="009E2812">
        <w:rPr>
          <w:sz w:val="24"/>
          <w:szCs w:val="24"/>
          <w:lang w:val="uk-UA" w:eastAsia="zh-CN"/>
        </w:rPr>
        <w:t xml:space="preserve">Аудитор відповідає за надання висновку щодо цієї фінансової звітності на основі проведеного аудиту відповідно до вимог Закону України «Про аудиторську діяльність» та Міжнародних  стандартів  контролю якості, аудиту, огляду, іншого надання впевненості та супутніх послуг, видання 2013 року, прийнятих  в  якості  Національних стандартів аудиту відповідно до Рішення Аудиторської Палати України № 304/1 від 24 грудня 2014 року. Ці стандарти вимагають, щоб аудитор дотримувався етичних принципів та планував і проводив аудит таким чином, щоб забезпечити достатню впевненість у тому, що фінансова звітність не містить суттєвих перекручень.  </w:t>
      </w:r>
    </w:p>
    <w:p w:rsidR="00B32EC0" w:rsidRPr="009E2812" w:rsidRDefault="00B32EC0" w:rsidP="002C7EC4">
      <w:pPr>
        <w:pStyle w:val="BodyTextIndent"/>
        <w:ind w:firstLine="709"/>
        <w:rPr>
          <w:rFonts w:ascii="Times New Roman" w:hAnsi="Times New Roman"/>
          <w:highlight w:val="yellow"/>
          <w:lang w:val="uk-UA"/>
        </w:rPr>
      </w:pPr>
    </w:p>
    <w:p w:rsidR="00B32EC0" w:rsidRPr="009E2812" w:rsidRDefault="00B32EC0" w:rsidP="002C7EC4">
      <w:pPr>
        <w:pStyle w:val="BodyTextIndent"/>
        <w:ind w:firstLine="709"/>
        <w:rPr>
          <w:rFonts w:ascii="Times New Roman" w:hAnsi="Times New Roman"/>
          <w:highlight w:val="yellow"/>
          <w:lang w:val="uk-UA"/>
        </w:rPr>
      </w:pPr>
    </w:p>
    <w:p w:rsidR="00B32EC0" w:rsidRPr="009E2812" w:rsidRDefault="00B32EC0" w:rsidP="002C7EC4">
      <w:pPr>
        <w:numPr>
          <w:ilvl w:val="1"/>
          <w:numId w:val="13"/>
        </w:numPr>
        <w:ind w:left="709" w:hanging="796"/>
        <w:jc w:val="both"/>
        <w:rPr>
          <w:i/>
          <w:sz w:val="24"/>
          <w:szCs w:val="24"/>
          <w:lang w:val="uk-UA"/>
        </w:rPr>
      </w:pPr>
      <w:r w:rsidRPr="009E2812">
        <w:rPr>
          <w:i/>
          <w:sz w:val="24"/>
          <w:szCs w:val="24"/>
          <w:lang w:val="uk-UA"/>
        </w:rPr>
        <w:t xml:space="preserve">Перелік перевірених фінансових звітів: </w:t>
      </w:r>
    </w:p>
    <w:p w:rsidR="00B32EC0" w:rsidRPr="009E2812" w:rsidRDefault="00B32EC0" w:rsidP="002C7EC4">
      <w:pPr>
        <w:suppressAutoHyphens/>
        <w:ind w:left="360"/>
        <w:rPr>
          <w:i/>
          <w:sz w:val="14"/>
          <w:szCs w:val="14"/>
          <w:lang w:val="uk-UA" w:eastAsia="zh-CN"/>
        </w:rPr>
      </w:pPr>
    </w:p>
    <w:p w:rsidR="00B32EC0" w:rsidRPr="009E2812" w:rsidRDefault="00B32EC0" w:rsidP="002C7EC4">
      <w:pPr>
        <w:numPr>
          <w:ilvl w:val="0"/>
          <w:numId w:val="7"/>
        </w:numPr>
        <w:jc w:val="both"/>
        <w:rPr>
          <w:sz w:val="22"/>
          <w:szCs w:val="22"/>
          <w:lang w:val="uk-UA"/>
        </w:rPr>
      </w:pPr>
      <w:r w:rsidRPr="009E2812">
        <w:rPr>
          <w:sz w:val="22"/>
          <w:szCs w:val="22"/>
          <w:lang w:val="uk-UA"/>
        </w:rPr>
        <w:t>Баланс (Звіт про фінансовий стан) за формою № 1 станом на 31 грудня 2014 року</w:t>
      </w:r>
    </w:p>
    <w:p w:rsidR="00B32EC0" w:rsidRPr="009E2812" w:rsidRDefault="00B32EC0" w:rsidP="002C7EC4">
      <w:pPr>
        <w:numPr>
          <w:ilvl w:val="0"/>
          <w:numId w:val="7"/>
        </w:numPr>
        <w:jc w:val="both"/>
        <w:rPr>
          <w:sz w:val="22"/>
          <w:szCs w:val="22"/>
          <w:lang w:val="uk-UA"/>
        </w:rPr>
      </w:pPr>
      <w:r w:rsidRPr="009E2812">
        <w:rPr>
          <w:sz w:val="22"/>
          <w:szCs w:val="22"/>
          <w:lang w:val="uk-UA"/>
        </w:rPr>
        <w:t>Звіт про фінансові результати (Звіт про сукупний дохід)  за формою № 2 за 2014 рік</w:t>
      </w:r>
    </w:p>
    <w:p w:rsidR="00B32EC0" w:rsidRPr="009E2812" w:rsidRDefault="00B32EC0" w:rsidP="002C7EC4">
      <w:pPr>
        <w:numPr>
          <w:ilvl w:val="0"/>
          <w:numId w:val="7"/>
        </w:numPr>
        <w:jc w:val="both"/>
        <w:rPr>
          <w:sz w:val="22"/>
          <w:szCs w:val="22"/>
          <w:lang w:val="uk-UA"/>
        </w:rPr>
      </w:pPr>
      <w:r w:rsidRPr="009E2812">
        <w:rPr>
          <w:sz w:val="22"/>
          <w:szCs w:val="22"/>
          <w:lang w:val="uk-UA"/>
        </w:rPr>
        <w:t>Звіт про рух грошових коштів за формою № 3 за 2014 рік</w:t>
      </w:r>
    </w:p>
    <w:p w:rsidR="00B32EC0" w:rsidRPr="009E2812" w:rsidRDefault="00B32EC0" w:rsidP="002C7EC4">
      <w:pPr>
        <w:numPr>
          <w:ilvl w:val="0"/>
          <w:numId w:val="7"/>
        </w:numPr>
        <w:jc w:val="both"/>
        <w:rPr>
          <w:sz w:val="22"/>
          <w:szCs w:val="22"/>
          <w:lang w:val="uk-UA"/>
        </w:rPr>
      </w:pPr>
      <w:r w:rsidRPr="009E2812">
        <w:rPr>
          <w:sz w:val="22"/>
          <w:szCs w:val="22"/>
          <w:lang w:val="uk-UA"/>
        </w:rPr>
        <w:t>Звіт про власний капітал за формою № 4 за 2014 рік</w:t>
      </w:r>
    </w:p>
    <w:p w:rsidR="00B32EC0" w:rsidRPr="009E2812" w:rsidRDefault="00B32EC0" w:rsidP="002C7EC4">
      <w:pPr>
        <w:numPr>
          <w:ilvl w:val="0"/>
          <w:numId w:val="7"/>
        </w:numPr>
        <w:jc w:val="both"/>
        <w:rPr>
          <w:sz w:val="22"/>
          <w:szCs w:val="22"/>
          <w:lang w:val="uk-UA"/>
        </w:rPr>
      </w:pPr>
      <w:r w:rsidRPr="009E2812">
        <w:rPr>
          <w:sz w:val="22"/>
          <w:szCs w:val="22"/>
          <w:lang w:val="uk-UA"/>
        </w:rPr>
        <w:t>Примітки до річної фінансової звітності за 2014 рік</w:t>
      </w:r>
    </w:p>
    <w:p w:rsidR="00B32EC0" w:rsidRPr="009E2812" w:rsidRDefault="00B32EC0" w:rsidP="002C7EC4">
      <w:pPr>
        <w:suppressAutoHyphens/>
        <w:ind w:left="720"/>
        <w:jc w:val="both"/>
        <w:rPr>
          <w:sz w:val="24"/>
          <w:szCs w:val="24"/>
          <w:lang w:val="uk-UA" w:eastAsia="zh-CN"/>
        </w:rPr>
      </w:pPr>
    </w:p>
    <w:p w:rsidR="00B32EC0" w:rsidRPr="009E2812" w:rsidRDefault="00B32EC0" w:rsidP="002C7EC4">
      <w:pPr>
        <w:suppressAutoHyphens/>
        <w:ind w:left="720"/>
        <w:jc w:val="both"/>
        <w:rPr>
          <w:sz w:val="24"/>
          <w:szCs w:val="24"/>
          <w:lang w:val="uk-UA" w:eastAsia="zh-CN"/>
        </w:rPr>
      </w:pPr>
    </w:p>
    <w:p w:rsidR="00B32EC0" w:rsidRPr="009E2812" w:rsidRDefault="00B32EC0" w:rsidP="002C7EC4">
      <w:pPr>
        <w:suppressAutoHyphens/>
        <w:ind w:left="720"/>
        <w:jc w:val="both"/>
        <w:rPr>
          <w:sz w:val="24"/>
          <w:szCs w:val="24"/>
          <w:lang w:val="uk-UA" w:eastAsia="zh-CN"/>
        </w:rPr>
      </w:pPr>
    </w:p>
    <w:p w:rsidR="00B32EC0" w:rsidRPr="009E2812" w:rsidRDefault="00B32EC0" w:rsidP="002C7EC4">
      <w:pPr>
        <w:suppressAutoHyphens/>
        <w:ind w:left="720"/>
        <w:jc w:val="both"/>
        <w:rPr>
          <w:sz w:val="24"/>
          <w:szCs w:val="24"/>
          <w:lang w:val="uk-UA" w:eastAsia="zh-CN"/>
        </w:rPr>
      </w:pPr>
      <w:r w:rsidRPr="009E2812">
        <w:rPr>
          <w:sz w:val="24"/>
          <w:szCs w:val="24"/>
          <w:lang w:val="uk-UA" w:eastAsia="zh-CN"/>
        </w:rPr>
        <w:t xml:space="preserve">Крім того, проведено огляд спеціальної звітності про діяльність Фонду за формами, встановленими Положенням про порядок складання, формування та подання адміністратором недержавного пенсійного фонду звітності з недержавного пенсійного забезпечення, затвердженим Розпорядженням Державної комісії з регулювання ринків фінансових послуг України від 27 жовтня 2011 р. № 674 (в редакції розпорядження Національної комісії, що здійснює державне у сфері ринків фінансових послуг України від 28.01.2014 р. № 238) з метою підготовки аудиторського висновку. </w:t>
      </w:r>
    </w:p>
    <w:p w:rsidR="00B32EC0" w:rsidRPr="009E2812" w:rsidRDefault="00B32EC0" w:rsidP="002C7EC4">
      <w:pPr>
        <w:tabs>
          <w:tab w:val="num" w:pos="720"/>
        </w:tabs>
        <w:jc w:val="both"/>
        <w:rPr>
          <w:lang w:val="uk-UA"/>
        </w:rPr>
      </w:pPr>
    </w:p>
    <w:p w:rsidR="00B32EC0" w:rsidRPr="009E2812" w:rsidRDefault="00B32EC0" w:rsidP="002C7EC4">
      <w:pPr>
        <w:tabs>
          <w:tab w:val="num" w:pos="720"/>
        </w:tabs>
        <w:jc w:val="both"/>
        <w:rPr>
          <w:lang w:val="uk-UA"/>
        </w:rPr>
      </w:pPr>
    </w:p>
    <w:p w:rsidR="00B32EC0" w:rsidRPr="009E2812" w:rsidRDefault="00B32EC0" w:rsidP="002C7EC4">
      <w:pPr>
        <w:numPr>
          <w:ilvl w:val="1"/>
          <w:numId w:val="13"/>
        </w:numPr>
        <w:ind w:left="709" w:hanging="796"/>
        <w:jc w:val="both"/>
        <w:rPr>
          <w:i/>
          <w:sz w:val="24"/>
          <w:szCs w:val="24"/>
          <w:lang w:val="uk-UA"/>
        </w:rPr>
      </w:pPr>
      <w:r w:rsidRPr="009E2812">
        <w:rPr>
          <w:i/>
          <w:sz w:val="24"/>
          <w:szCs w:val="24"/>
          <w:lang w:val="uk-UA"/>
        </w:rPr>
        <w:t xml:space="preserve">Концептуальна основа фінансової звітності </w:t>
      </w:r>
    </w:p>
    <w:p w:rsidR="00B32EC0" w:rsidRPr="009E2812" w:rsidRDefault="00B32EC0" w:rsidP="002C7EC4">
      <w:pPr>
        <w:suppressAutoHyphens/>
        <w:ind w:left="720"/>
        <w:jc w:val="both"/>
        <w:rPr>
          <w:sz w:val="24"/>
          <w:szCs w:val="24"/>
          <w:lang w:val="uk-UA" w:eastAsia="zh-CN"/>
        </w:rPr>
      </w:pPr>
    </w:p>
    <w:p w:rsidR="00B32EC0" w:rsidRPr="003034A3" w:rsidRDefault="00B32EC0" w:rsidP="00B6460A">
      <w:pPr>
        <w:suppressAutoHyphens/>
        <w:ind w:left="720"/>
        <w:jc w:val="both"/>
        <w:rPr>
          <w:sz w:val="24"/>
          <w:szCs w:val="24"/>
          <w:lang w:val="uk-UA" w:eastAsia="zh-CN"/>
        </w:rPr>
      </w:pPr>
      <w:r w:rsidRPr="009E2812">
        <w:rPr>
          <w:sz w:val="24"/>
          <w:szCs w:val="24"/>
          <w:lang w:val="uk-UA" w:eastAsia="zh-CN"/>
        </w:rPr>
        <w:t xml:space="preserve">Концептуальною основою фінансової звітності Фонду за період з 01.01.2014 р. по 31.12.2014 р. є </w:t>
      </w:r>
      <w:r w:rsidRPr="00611C5F">
        <w:rPr>
          <w:sz w:val="24"/>
          <w:szCs w:val="24"/>
          <w:lang w:val="uk-UA" w:eastAsia="zh-CN"/>
        </w:rPr>
        <w:t>бухгалтерські політики</w:t>
      </w:r>
      <w:r w:rsidRPr="003034A3">
        <w:rPr>
          <w:sz w:val="24"/>
          <w:szCs w:val="24"/>
          <w:lang w:val="uk-UA" w:eastAsia="zh-CN"/>
        </w:rPr>
        <w:t xml:space="preserve">, що базуються на вимогах Міжнародних стандартів фінансової звітності (МСФЗ), допущення, прийняті управлінським персоналом щодо стандартів та інтерпретацій, які, були чинними, і </w:t>
      </w:r>
      <w:r w:rsidRPr="00611C5F">
        <w:rPr>
          <w:sz w:val="24"/>
          <w:szCs w:val="24"/>
          <w:lang w:val="uk-UA" w:eastAsia="zh-CN"/>
        </w:rPr>
        <w:t>політик,</w:t>
      </w:r>
      <w:r w:rsidRPr="003034A3">
        <w:rPr>
          <w:sz w:val="24"/>
          <w:szCs w:val="24"/>
          <w:lang w:val="uk-UA" w:eastAsia="zh-CN"/>
        </w:rPr>
        <w:t xml:space="preserve"> які були прийняті на дату підготовки управлінським персоналом пакету фінансової звітності за МСФЗ за станом на 31.12.2014 р.</w:t>
      </w:r>
    </w:p>
    <w:p w:rsidR="00B32EC0" w:rsidRPr="009E2812" w:rsidRDefault="00B32EC0" w:rsidP="002C7EC4">
      <w:pPr>
        <w:suppressAutoHyphens/>
        <w:ind w:left="720"/>
        <w:jc w:val="both"/>
        <w:rPr>
          <w:sz w:val="24"/>
          <w:szCs w:val="24"/>
          <w:lang w:val="uk-UA" w:eastAsia="zh-CN"/>
        </w:rPr>
      </w:pPr>
    </w:p>
    <w:p w:rsidR="00B32EC0" w:rsidRPr="009E2812" w:rsidRDefault="00B32EC0" w:rsidP="002C7EC4">
      <w:pPr>
        <w:suppressAutoHyphens/>
        <w:ind w:left="720"/>
        <w:jc w:val="both"/>
        <w:rPr>
          <w:sz w:val="24"/>
          <w:szCs w:val="24"/>
          <w:lang w:val="uk-UA" w:eastAsia="zh-CN"/>
        </w:rPr>
      </w:pPr>
      <w:r w:rsidRPr="009E2812">
        <w:rPr>
          <w:sz w:val="24"/>
          <w:szCs w:val="24"/>
          <w:lang w:val="uk-UA" w:eastAsia="zh-CN"/>
        </w:rPr>
        <w:t>Фінансова звітність складена з урахуванням вимог Порядку подання фінансової звітності, затвердженим постановою Кабінету Міністрів України № 419 від 28.02.2000 р., Національного положення (стандарту) бухгалтерського обліку 1 «Загальні вимоги до фінансової звітності», затвердженого наказом МФУ № 73 від 07.02.2013 р.</w:t>
      </w:r>
    </w:p>
    <w:p w:rsidR="00B32EC0" w:rsidRPr="009E2812" w:rsidRDefault="00B32EC0" w:rsidP="002C7EC4">
      <w:pPr>
        <w:suppressAutoHyphens/>
        <w:ind w:left="720"/>
        <w:jc w:val="both"/>
        <w:rPr>
          <w:sz w:val="24"/>
          <w:szCs w:val="24"/>
          <w:lang w:val="uk-UA" w:eastAsia="zh-CN"/>
        </w:rPr>
      </w:pPr>
    </w:p>
    <w:p w:rsidR="00B32EC0" w:rsidRPr="009E2812" w:rsidRDefault="00B32EC0" w:rsidP="002C7EC4">
      <w:pPr>
        <w:suppressAutoHyphens/>
        <w:ind w:left="720"/>
        <w:jc w:val="both"/>
        <w:rPr>
          <w:sz w:val="24"/>
          <w:szCs w:val="24"/>
          <w:lang w:val="uk-UA" w:eastAsia="zh-CN"/>
        </w:rPr>
      </w:pPr>
      <w:r w:rsidRPr="009E2812">
        <w:rPr>
          <w:sz w:val="24"/>
          <w:szCs w:val="24"/>
          <w:lang w:val="uk-UA" w:eastAsia="zh-CN"/>
        </w:rPr>
        <w:t xml:space="preserve">Інформаційною базою для ознайомлення зі змістом облікової політики Фонду є Положення про облікову політику та організацію бухгалтерського обліку,  розроблене та затверджене наказом </w:t>
      </w:r>
      <w:r w:rsidRPr="00611C5F">
        <w:rPr>
          <w:sz w:val="24"/>
          <w:szCs w:val="24"/>
          <w:lang w:val="uk-UA" w:eastAsia="zh-CN"/>
        </w:rPr>
        <w:t>№ 251/1 від 01 січня 2013 р.</w:t>
      </w:r>
      <w:r w:rsidRPr="009E2812">
        <w:rPr>
          <w:sz w:val="24"/>
          <w:szCs w:val="24"/>
          <w:lang w:val="uk-UA" w:eastAsia="zh-CN"/>
        </w:rPr>
        <w:t xml:space="preserve"> його Компанією-Адміністратором</w:t>
      </w:r>
    </w:p>
    <w:p w:rsidR="00B32EC0" w:rsidRPr="009E2812" w:rsidRDefault="00B32EC0" w:rsidP="002C7EC4">
      <w:pPr>
        <w:suppressAutoHyphens/>
        <w:ind w:left="720"/>
        <w:jc w:val="both"/>
        <w:rPr>
          <w:sz w:val="24"/>
          <w:szCs w:val="24"/>
          <w:lang w:val="uk-UA" w:eastAsia="zh-CN"/>
        </w:rPr>
      </w:pPr>
    </w:p>
    <w:p w:rsidR="00B32EC0" w:rsidRPr="009E2812" w:rsidRDefault="00B32EC0" w:rsidP="002C7EC4">
      <w:pPr>
        <w:suppressAutoHyphens/>
        <w:ind w:left="720"/>
        <w:jc w:val="both"/>
        <w:rPr>
          <w:sz w:val="24"/>
          <w:szCs w:val="24"/>
          <w:lang w:val="uk-UA" w:eastAsia="zh-CN"/>
        </w:rPr>
      </w:pPr>
      <w:r w:rsidRPr="009E2812">
        <w:rPr>
          <w:sz w:val="24"/>
          <w:szCs w:val="24"/>
          <w:lang w:val="uk-UA" w:eastAsia="zh-CN"/>
        </w:rPr>
        <w:t>Протягом 2014</w:t>
      </w:r>
      <w:r>
        <w:rPr>
          <w:sz w:val="24"/>
          <w:szCs w:val="24"/>
          <w:lang w:val="uk-UA" w:eastAsia="zh-CN"/>
        </w:rPr>
        <w:t xml:space="preserve"> року облікова політика Компанією-Адміністратором </w:t>
      </w:r>
      <w:r w:rsidRPr="009E2812">
        <w:rPr>
          <w:sz w:val="24"/>
          <w:szCs w:val="24"/>
          <w:lang w:val="uk-UA" w:eastAsia="zh-CN"/>
        </w:rPr>
        <w:t xml:space="preserve">не змінювалась. Облікова політика ВПФ «ФАРМАЦЕВТИЧНИЙ» в цілому відповідає Закону України «Про бухгалтерський облік та фінансову звітність в Україні» від 16.07.1999 р. </w:t>
      </w:r>
      <w:r w:rsidRPr="00BA7D68">
        <w:rPr>
          <w:sz w:val="24"/>
          <w:szCs w:val="24"/>
          <w:lang w:val="uk-UA" w:eastAsia="zh-CN"/>
        </w:rPr>
        <w:t xml:space="preserve">                </w:t>
      </w:r>
      <w:r w:rsidRPr="009E2812">
        <w:rPr>
          <w:sz w:val="24"/>
          <w:szCs w:val="24"/>
          <w:lang w:val="uk-UA" w:eastAsia="zh-CN"/>
        </w:rPr>
        <w:t>№ 996-ХІV, Міжнародним стандартам фінансової звітності, Положенням (стандартам) бухгалтерського обліку, іншим нормативним актам.</w:t>
      </w:r>
    </w:p>
    <w:p w:rsidR="00B32EC0" w:rsidRPr="009E2812" w:rsidRDefault="00B32EC0" w:rsidP="002C7EC4">
      <w:pPr>
        <w:suppressAutoHyphens/>
        <w:ind w:left="720"/>
        <w:jc w:val="both"/>
        <w:rPr>
          <w:sz w:val="24"/>
          <w:szCs w:val="24"/>
          <w:lang w:val="uk-UA" w:eastAsia="zh-CN"/>
        </w:rPr>
      </w:pPr>
    </w:p>
    <w:p w:rsidR="00B32EC0" w:rsidRPr="009E2812" w:rsidRDefault="00B32EC0" w:rsidP="002C7EC4">
      <w:pPr>
        <w:jc w:val="both"/>
        <w:rPr>
          <w:i/>
          <w:lang w:val="uk-UA"/>
        </w:rPr>
      </w:pPr>
    </w:p>
    <w:p w:rsidR="00B32EC0" w:rsidRPr="009E2812" w:rsidRDefault="00B32EC0" w:rsidP="002C7EC4">
      <w:pPr>
        <w:numPr>
          <w:ilvl w:val="1"/>
          <w:numId w:val="13"/>
        </w:numPr>
        <w:ind w:hanging="796"/>
        <w:jc w:val="both"/>
        <w:rPr>
          <w:i/>
          <w:sz w:val="24"/>
          <w:szCs w:val="24"/>
          <w:lang w:val="uk-UA"/>
        </w:rPr>
      </w:pPr>
      <w:r w:rsidRPr="009E2812">
        <w:rPr>
          <w:i/>
          <w:sz w:val="24"/>
          <w:szCs w:val="24"/>
          <w:lang w:val="uk-UA"/>
        </w:rPr>
        <w:t>Обсяг та процедури аудиторської перевірки</w:t>
      </w:r>
    </w:p>
    <w:p w:rsidR="00B32EC0" w:rsidRPr="009E2812" w:rsidRDefault="00B32EC0" w:rsidP="002C7EC4">
      <w:pPr>
        <w:suppressAutoHyphens/>
        <w:jc w:val="both"/>
        <w:rPr>
          <w:sz w:val="10"/>
          <w:szCs w:val="10"/>
          <w:lang w:val="uk-UA" w:eastAsia="zh-CN"/>
        </w:rPr>
      </w:pPr>
    </w:p>
    <w:p w:rsidR="00B32EC0" w:rsidRPr="009E2812" w:rsidRDefault="00B32EC0" w:rsidP="002C7EC4">
      <w:pPr>
        <w:suppressAutoHyphens/>
        <w:ind w:left="720"/>
        <w:jc w:val="both"/>
        <w:rPr>
          <w:sz w:val="24"/>
          <w:szCs w:val="24"/>
          <w:lang w:val="uk-UA" w:eastAsia="zh-CN"/>
        </w:rPr>
      </w:pPr>
      <w:r w:rsidRPr="009E2812">
        <w:rPr>
          <w:sz w:val="24"/>
          <w:szCs w:val="24"/>
          <w:lang w:val="uk-UA" w:eastAsia="zh-CN"/>
        </w:rPr>
        <w:t>Аудит передбачає виконання аудиторських процедур з метою отримання аудиторських доказів щодо сум та пояснень у фінансовій звітності. Обрані процедури залежать від професійного судження аудитора, в тому числі від оцінки ризику суттєвого викривлення фінансової звітності внаслідок помилок або шахрайства. При оцінці ризику аудитор розглядає систему внутрішнього контролю, що впливає на підготовку і достовірне подання Компанією</w:t>
      </w:r>
      <w:r>
        <w:rPr>
          <w:sz w:val="24"/>
          <w:szCs w:val="24"/>
          <w:lang w:val="uk-UA" w:eastAsia="zh-CN"/>
        </w:rPr>
        <w:t>-Адміністратором</w:t>
      </w:r>
      <w:r w:rsidRPr="009E2812">
        <w:rPr>
          <w:sz w:val="24"/>
          <w:szCs w:val="24"/>
          <w:lang w:val="uk-UA" w:eastAsia="zh-CN"/>
        </w:rPr>
        <w:t xml:space="preserve"> фінансової звітності</w:t>
      </w:r>
      <w:r>
        <w:rPr>
          <w:sz w:val="24"/>
          <w:szCs w:val="24"/>
          <w:lang w:val="uk-UA" w:eastAsia="zh-CN"/>
        </w:rPr>
        <w:t xml:space="preserve"> Фонду</w:t>
      </w:r>
      <w:r w:rsidRPr="009E2812">
        <w:rPr>
          <w:sz w:val="24"/>
          <w:szCs w:val="24"/>
          <w:lang w:val="uk-UA" w:eastAsia="zh-CN"/>
        </w:rPr>
        <w:t xml:space="preserve">, з метою розробки аудиторських процедур, доцільних та існуючих обставин, а не з метою надання висновку щодо ефективності системи внутрішнього контролю. </w:t>
      </w:r>
    </w:p>
    <w:p w:rsidR="00B32EC0" w:rsidRPr="009E2812" w:rsidRDefault="00B32EC0" w:rsidP="002C7EC4">
      <w:pPr>
        <w:suppressAutoHyphens/>
        <w:ind w:left="720"/>
        <w:jc w:val="both"/>
        <w:rPr>
          <w:sz w:val="24"/>
          <w:szCs w:val="24"/>
          <w:lang w:val="uk-UA" w:eastAsia="zh-CN"/>
        </w:rPr>
      </w:pPr>
      <w:r w:rsidRPr="009E2812">
        <w:rPr>
          <w:sz w:val="24"/>
          <w:szCs w:val="24"/>
          <w:lang w:val="uk-UA" w:eastAsia="zh-CN"/>
        </w:rPr>
        <w:t xml:space="preserve">Обсяг аудиторської перевірки не був обмежений. </w:t>
      </w:r>
    </w:p>
    <w:p w:rsidR="00B32EC0" w:rsidRPr="009E2812" w:rsidRDefault="00B32EC0" w:rsidP="002C7EC4">
      <w:pPr>
        <w:suppressAutoHyphens/>
        <w:ind w:left="720"/>
        <w:jc w:val="both"/>
        <w:rPr>
          <w:sz w:val="24"/>
          <w:szCs w:val="24"/>
          <w:lang w:val="uk-UA" w:eastAsia="zh-CN"/>
        </w:rPr>
      </w:pPr>
    </w:p>
    <w:p w:rsidR="00B32EC0" w:rsidRPr="009E2812" w:rsidRDefault="00B32EC0" w:rsidP="002C7EC4">
      <w:pPr>
        <w:suppressAutoHyphens/>
        <w:ind w:left="720"/>
        <w:jc w:val="both"/>
        <w:rPr>
          <w:sz w:val="24"/>
          <w:szCs w:val="24"/>
          <w:lang w:val="uk-UA" w:eastAsia="zh-CN"/>
        </w:rPr>
      </w:pPr>
      <w:r w:rsidRPr="009E2812">
        <w:rPr>
          <w:sz w:val="24"/>
          <w:szCs w:val="24"/>
          <w:lang w:val="uk-UA" w:eastAsia="zh-CN"/>
        </w:rPr>
        <w:t xml:space="preserve">Аудит проведений відповідно до вимог Закону України «Про аудиторську діяльність» і Міжнародних  стандартів  контролю якості, аудиту, огляду, іншого надання впевненості та супутніх послуг, видання 2013 року, прийнятих  в  якості  Національних  стандартів аудиту відповідно до Рішення Аудиторської Палати України № 304/1 від 24 грудня 2014 року. </w:t>
      </w:r>
    </w:p>
    <w:p w:rsidR="00B32EC0" w:rsidRPr="009E2812" w:rsidRDefault="00B32EC0" w:rsidP="002C7EC4">
      <w:pPr>
        <w:suppressAutoHyphens/>
        <w:ind w:left="720"/>
        <w:jc w:val="both"/>
        <w:rPr>
          <w:sz w:val="24"/>
          <w:szCs w:val="24"/>
          <w:lang w:val="uk-UA" w:eastAsia="zh-CN"/>
        </w:rPr>
      </w:pPr>
      <w:r w:rsidRPr="009E2812">
        <w:rPr>
          <w:sz w:val="24"/>
          <w:szCs w:val="24"/>
          <w:lang w:val="uk-UA" w:eastAsia="zh-CN"/>
        </w:rPr>
        <w:t xml:space="preserve">Аудит включає перевірку шляхом тестування доказів, які підтверджують суми й розкриття інформації у фінансових звітах. Аудит також включає оцінку застосовуваних принципів бухгалтерського обліку й істотних попередніх оцінок, виконаних управлінським персоналом, а також оцінку загального подання фінансових звітів. </w:t>
      </w:r>
    </w:p>
    <w:p w:rsidR="00B32EC0" w:rsidRPr="009E2812" w:rsidRDefault="00B32EC0" w:rsidP="002C7EC4">
      <w:pPr>
        <w:suppressAutoHyphens/>
        <w:ind w:left="720"/>
        <w:jc w:val="both"/>
        <w:rPr>
          <w:sz w:val="24"/>
          <w:szCs w:val="24"/>
          <w:lang w:val="uk-UA" w:eastAsia="zh-CN"/>
        </w:rPr>
      </w:pPr>
    </w:p>
    <w:p w:rsidR="00B32EC0" w:rsidRPr="009E2812" w:rsidRDefault="00B32EC0" w:rsidP="002C7EC4">
      <w:pPr>
        <w:suppressAutoHyphens/>
        <w:ind w:left="720"/>
        <w:jc w:val="both"/>
        <w:rPr>
          <w:sz w:val="24"/>
          <w:szCs w:val="24"/>
          <w:lang w:val="uk-UA" w:eastAsia="zh-CN"/>
        </w:rPr>
      </w:pPr>
      <w:r w:rsidRPr="009E2812">
        <w:rPr>
          <w:sz w:val="24"/>
          <w:szCs w:val="24"/>
          <w:lang w:val="uk-UA" w:eastAsia="zh-CN"/>
        </w:rPr>
        <w:t xml:space="preserve">Аудит фінансової звітності за період 01.01.2014 р. – 31.12.2014 р. проведений вибірковим порядком, тобто до уваги приймались лише суттєві </w:t>
      </w:r>
      <w:r>
        <w:rPr>
          <w:sz w:val="24"/>
          <w:szCs w:val="24"/>
          <w:lang w:val="uk-UA" w:eastAsia="zh-CN"/>
        </w:rPr>
        <w:t>суми</w:t>
      </w:r>
      <w:r w:rsidRPr="009E2812">
        <w:rPr>
          <w:sz w:val="24"/>
          <w:szCs w:val="24"/>
          <w:lang w:val="uk-UA" w:eastAsia="zh-CN"/>
        </w:rPr>
        <w:t>.</w:t>
      </w:r>
    </w:p>
    <w:p w:rsidR="00B32EC0" w:rsidRPr="009E2812" w:rsidRDefault="00B32EC0" w:rsidP="002C7EC4">
      <w:pPr>
        <w:suppressAutoHyphens/>
        <w:ind w:left="720"/>
        <w:jc w:val="both"/>
        <w:rPr>
          <w:sz w:val="24"/>
          <w:szCs w:val="24"/>
          <w:lang w:val="uk-UA" w:eastAsia="zh-CN"/>
        </w:rPr>
      </w:pPr>
    </w:p>
    <w:p w:rsidR="00B32EC0" w:rsidRDefault="00B32EC0" w:rsidP="002C7EC4">
      <w:pPr>
        <w:suppressAutoHyphens/>
        <w:ind w:left="720"/>
        <w:jc w:val="both"/>
        <w:rPr>
          <w:sz w:val="24"/>
          <w:szCs w:val="24"/>
          <w:lang w:val="uk-UA" w:eastAsia="zh-CN"/>
        </w:rPr>
      </w:pPr>
      <w:r w:rsidRPr="009E2812">
        <w:rPr>
          <w:sz w:val="24"/>
          <w:szCs w:val="24"/>
          <w:lang w:val="uk-UA" w:eastAsia="zh-CN"/>
        </w:rPr>
        <w:t xml:space="preserve">В ході аудиту не проводився заглиблений аналіз якості ведення податкового обліку, що не виключає виявлення викривлень подальшою податковою перевіркою. </w:t>
      </w:r>
    </w:p>
    <w:p w:rsidR="00B32EC0" w:rsidRPr="009E2812" w:rsidRDefault="00B32EC0" w:rsidP="002C7EC4">
      <w:pPr>
        <w:suppressAutoHyphens/>
        <w:ind w:left="720"/>
        <w:jc w:val="both"/>
        <w:rPr>
          <w:sz w:val="24"/>
          <w:szCs w:val="24"/>
          <w:lang w:val="uk-UA" w:eastAsia="zh-CN"/>
        </w:rPr>
      </w:pPr>
    </w:p>
    <w:p w:rsidR="00B32EC0" w:rsidRPr="009E2812" w:rsidRDefault="00B32EC0" w:rsidP="002C7EC4">
      <w:pPr>
        <w:suppressAutoHyphens/>
        <w:ind w:left="720"/>
        <w:jc w:val="both"/>
        <w:rPr>
          <w:sz w:val="24"/>
          <w:szCs w:val="24"/>
          <w:lang w:val="uk-UA" w:eastAsia="zh-CN"/>
        </w:rPr>
      </w:pPr>
      <w:r w:rsidRPr="009E2812">
        <w:rPr>
          <w:sz w:val="24"/>
          <w:szCs w:val="24"/>
          <w:lang w:val="uk-UA" w:eastAsia="zh-CN"/>
        </w:rPr>
        <w:t>При визначе</w:t>
      </w:r>
      <w:r w:rsidRPr="00611C5F">
        <w:rPr>
          <w:sz w:val="24"/>
          <w:szCs w:val="24"/>
          <w:lang w:val="uk-UA" w:eastAsia="zh-CN"/>
        </w:rPr>
        <w:t>ні рівн</w:t>
      </w:r>
      <w:r w:rsidRPr="009E2812">
        <w:rPr>
          <w:sz w:val="24"/>
          <w:szCs w:val="24"/>
          <w:lang w:val="uk-UA" w:eastAsia="zh-CN"/>
        </w:rPr>
        <w:t>я суттєвості використовувався наступний метод розрахунку:</w:t>
      </w:r>
    </w:p>
    <w:p w:rsidR="00B32EC0" w:rsidRPr="009E2812" w:rsidRDefault="00B32EC0" w:rsidP="002C7EC4">
      <w:pPr>
        <w:suppressAutoHyphens/>
        <w:ind w:left="720"/>
        <w:rPr>
          <w:shd w:val="clear" w:color="auto" w:fill="FFFF00"/>
          <w:lang w:val="uk-UA" w:eastAsia="zh-CN"/>
        </w:rPr>
      </w:pPr>
    </w:p>
    <w:tbl>
      <w:tblPr>
        <w:tblW w:w="0" w:type="auto"/>
        <w:tblInd w:w="823" w:type="dxa"/>
        <w:tblLayout w:type="fixed"/>
        <w:tblLook w:val="0000"/>
      </w:tblPr>
      <w:tblGrid>
        <w:gridCol w:w="2880"/>
        <w:gridCol w:w="2700"/>
        <w:gridCol w:w="3070"/>
      </w:tblGrid>
      <w:tr w:rsidR="00B32EC0" w:rsidRPr="009E2812" w:rsidTr="00275793">
        <w:tc>
          <w:tcPr>
            <w:tcW w:w="2880" w:type="dxa"/>
            <w:tcBorders>
              <w:top w:val="single" w:sz="4" w:space="0" w:color="000000"/>
              <w:left w:val="single" w:sz="4" w:space="0" w:color="000000"/>
              <w:bottom w:val="single" w:sz="4" w:space="0" w:color="000000"/>
            </w:tcBorders>
          </w:tcPr>
          <w:p w:rsidR="00B32EC0" w:rsidRPr="009E2812" w:rsidRDefault="00B32EC0" w:rsidP="002C7EC4">
            <w:pPr>
              <w:suppressAutoHyphens/>
              <w:jc w:val="center"/>
              <w:rPr>
                <w:b/>
                <w:sz w:val="18"/>
                <w:szCs w:val="18"/>
                <w:lang w:val="uk-UA" w:eastAsia="zh-CN"/>
              </w:rPr>
            </w:pPr>
            <w:r w:rsidRPr="009E2812">
              <w:rPr>
                <w:b/>
                <w:sz w:val="18"/>
                <w:szCs w:val="18"/>
                <w:lang w:val="uk-UA" w:eastAsia="zh-CN"/>
              </w:rPr>
              <w:t xml:space="preserve">Можливі значення базового показника, </w:t>
            </w:r>
          </w:p>
          <w:p w:rsidR="00B32EC0" w:rsidRPr="009E2812" w:rsidRDefault="00B32EC0" w:rsidP="002C7EC4">
            <w:pPr>
              <w:suppressAutoHyphens/>
              <w:jc w:val="center"/>
              <w:rPr>
                <w:b/>
                <w:sz w:val="18"/>
                <w:szCs w:val="18"/>
                <w:lang w:val="uk-UA" w:eastAsia="zh-CN"/>
              </w:rPr>
            </w:pPr>
            <w:r w:rsidRPr="009E2812">
              <w:rPr>
                <w:b/>
                <w:sz w:val="18"/>
                <w:szCs w:val="18"/>
                <w:lang w:val="uk-UA" w:eastAsia="zh-CN"/>
              </w:rPr>
              <w:t>в тис. грн.</w:t>
            </w:r>
          </w:p>
        </w:tc>
        <w:tc>
          <w:tcPr>
            <w:tcW w:w="2700" w:type="dxa"/>
            <w:tcBorders>
              <w:top w:val="single" w:sz="4" w:space="0" w:color="000000"/>
              <w:left w:val="single" w:sz="4" w:space="0" w:color="000000"/>
              <w:bottom w:val="single" w:sz="4" w:space="0" w:color="000000"/>
            </w:tcBorders>
          </w:tcPr>
          <w:p w:rsidR="00B32EC0" w:rsidRPr="009E2812" w:rsidRDefault="00B32EC0" w:rsidP="002C7EC4">
            <w:pPr>
              <w:suppressAutoHyphens/>
              <w:jc w:val="center"/>
              <w:rPr>
                <w:b/>
                <w:sz w:val="18"/>
                <w:szCs w:val="18"/>
                <w:lang w:val="uk-UA" w:eastAsia="zh-CN"/>
              </w:rPr>
            </w:pPr>
            <w:r w:rsidRPr="009E2812">
              <w:rPr>
                <w:b/>
                <w:sz w:val="18"/>
                <w:szCs w:val="18"/>
                <w:lang w:val="uk-UA" w:eastAsia="zh-CN"/>
              </w:rPr>
              <w:t xml:space="preserve">Рівень (межа, границя) суттєвості, </w:t>
            </w:r>
          </w:p>
          <w:p w:rsidR="00B32EC0" w:rsidRPr="009E2812" w:rsidRDefault="00B32EC0" w:rsidP="002C7EC4">
            <w:pPr>
              <w:suppressAutoHyphens/>
              <w:jc w:val="center"/>
              <w:rPr>
                <w:b/>
                <w:sz w:val="18"/>
                <w:szCs w:val="18"/>
                <w:lang w:val="uk-UA" w:eastAsia="zh-CN"/>
              </w:rPr>
            </w:pPr>
            <w:r w:rsidRPr="009E2812">
              <w:rPr>
                <w:b/>
                <w:sz w:val="18"/>
                <w:szCs w:val="18"/>
                <w:lang w:val="uk-UA" w:eastAsia="zh-CN"/>
              </w:rPr>
              <w:t>у %</w:t>
            </w:r>
          </w:p>
        </w:tc>
        <w:tc>
          <w:tcPr>
            <w:tcW w:w="3070" w:type="dxa"/>
            <w:tcBorders>
              <w:top w:val="single" w:sz="4" w:space="0" w:color="000000"/>
              <w:left w:val="single" w:sz="4" w:space="0" w:color="000000"/>
              <w:bottom w:val="single" w:sz="4" w:space="0" w:color="000000"/>
              <w:right w:val="single" w:sz="4" w:space="0" w:color="000000"/>
            </w:tcBorders>
          </w:tcPr>
          <w:p w:rsidR="00B32EC0" w:rsidRPr="009E2812" w:rsidRDefault="00B32EC0" w:rsidP="002C7EC4">
            <w:pPr>
              <w:suppressAutoHyphens/>
              <w:jc w:val="center"/>
              <w:rPr>
                <w:b/>
                <w:sz w:val="18"/>
                <w:szCs w:val="18"/>
                <w:lang w:val="uk-UA" w:eastAsia="zh-CN"/>
              </w:rPr>
            </w:pPr>
            <w:r w:rsidRPr="009E2812">
              <w:rPr>
                <w:b/>
                <w:sz w:val="18"/>
                <w:szCs w:val="18"/>
                <w:lang w:val="uk-UA" w:eastAsia="zh-CN"/>
              </w:rPr>
              <w:t xml:space="preserve">Межа </w:t>
            </w:r>
          </w:p>
          <w:p w:rsidR="00B32EC0" w:rsidRPr="009E2812" w:rsidRDefault="00B32EC0" w:rsidP="002C7EC4">
            <w:pPr>
              <w:suppressAutoHyphens/>
              <w:jc w:val="center"/>
              <w:rPr>
                <w:b/>
                <w:sz w:val="18"/>
                <w:szCs w:val="18"/>
                <w:lang w:val="uk-UA" w:eastAsia="zh-CN"/>
              </w:rPr>
            </w:pPr>
            <w:r w:rsidRPr="009E2812">
              <w:rPr>
                <w:b/>
                <w:sz w:val="18"/>
                <w:szCs w:val="18"/>
                <w:lang w:val="uk-UA" w:eastAsia="zh-CN"/>
              </w:rPr>
              <w:t xml:space="preserve">суттєвої помилки, </w:t>
            </w:r>
          </w:p>
          <w:p w:rsidR="00B32EC0" w:rsidRPr="009E2812" w:rsidRDefault="00B32EC0" w:rsidP="002C7EC4">
            <w:pPr>
              <w:suppressAutoHyphens/>
              <w:jc w:val="center"/>
              <w:rPr>
                <w:sz w:val="18"/>
                <w:szCs w:val="18"/>
                <w:lang w:val="uk-UA" w:eastAsia="zh-CN"/>
              </w:rPr>
            </w:pPr>
            <w:r w:rsidRPr="009E2812">
              <w:rPr>
                <w:b/>
                <w:sz w:val="18"/>
                <w:szCs w:val="18"/>
                <w:lang w:val="uk-UA" w:eastAsia="zh-CN"/>
              </w:rPr>
              <w:t>в тис. грн.</w:t>
            </w:r>
          </w:p>
        </w:tc>
      </w:tr>
      <w:tr w:rsidR="00B32EC0" w:rsidRPr="009E2812" w:rsidTr="00275793">
        <w:trPr>
          <w:trHeight w:val="141"/>
        </w:trPr>
        <w:tc>
          <w:tcPr>
            <w:tcW w:w="2880" w:type="dxa"/>
            <w:tcBorders>
              <w:top w:val="single" w:sz="4" w:space="0" w:color="000000"/>
              <w:left w:val="single" w:sz="4" w:space="0" w:color="000000"/>
              <w:bottom w:val="single" w:sz="4" w:space="0" w:color="000000"/>
            </w:tcBorders>
          </w:tcPr>
          <w:p w:rsidR="00B32EC0" w:rsidRPr="009E2812" w:rsidRDefault="00B32EC0" w:rsidP="002C7EC4">
            <w:pPr>
              <w:suppressAutoHyphens/>
              <w:jc w:val="center"/>
              <w:rPr>
                <w:sz w:val="18"/>
                <w:szCs w:val="18"/>
                <w:lang w:val="uk-UA" w:eastAsia="zh-CN"/>
              </w:rPr>
            </w:pPr>
            <w:r w:rsidRPr="009E2812">
              <w:rPr>
                <w:sz w:val="18"/>
                <w:szCs w:val="18"/>
                <w:lang w:val="uk-UA" w:eastAsia="zh-CN"/>
              </w:rPr>
              <w:t>0 – 25</w:t>
            </w:r>
          </w:p>
        </w:tc>
        <w:tc>
          <w:tcPr>
            <w:tcW w:w="2700" w:type="dxa"/>
            <w:tcBorders>
              <w:top w:val="single" w:sz="4" w:space="0" w:color="000000"/>
              <w:left w:val="single" w:sz="4" w:space="0" w:color="000000"/>
              <w:bottom w:val="single" w:sz="4" w:space="0" w:color="000000"/>
            </w:tcBorders>
          </w:tcPr>
          <w:p w:rsidR="00B32EC0" w:rsidRPr="009E2812" w:rsidRDefault="00B32EC0" w:rsidP="002C7EC4">
            <w:pPr>
              <w:suppressAutoHyphens/>
              <w:jc w:val="center"/>
              <w:rPr>
                <w:sz w:val="18"/>
                <w:szCs w:val="18"/>
                <w:lang w:val="uk-UA" w:eastAsia="zh-CN"/>
              </w:rPr>
            </w:pPr>
            <w:r w:rsidRPr="009E2812">
              <w:rPr>
                <w:sz w:val="18"/>
                <w:szCs w:val="18"/>
                <w:lang w:val="uk-UA" w:eastAsia="zh-CN"/>
              </w:rPr>
              <w:t>5</w:t>
            </w:r>
          </w:p>
        </w:tc>
        <w:tc>
          <w:tcPr>
            <w:tcW w:w="3070" w:type="dxa"/>
            <w:tcBorders>
              <w:top w:val="single" w:sz="4" w:space="0" w:color="000000"/>
              <w:left w:val="single" w:sz="4" w:space="0" w:color="000000"/>
              <w:bottom w:val="single" w:sz="4" w:space="0" w:color="000000"/>
              <w:right w:val="single" w:sz="4" w:space="0" w:color="000000"/>
            </w:tcBorders>
          </w:tcPr>
          <w:p w:rsidR="00B32EC0" w:rsidRPr="009E2812" w:rsidRDefault="00B32EC0" w:rsidP="002C7EC4">
            <w:pPr>
              <w:suppressAutoHyphens/>
              <w:jc w:val="center"/>
              <w:rPr>
                <w:sz w:val="18"/>
                <w:szCs w:val="18"/>
                <w:lang w:val="uk-UA" w:eastAsia="zh-CN"/>
              </w:rPr>
            </w:pPr>
            <w:r w:rsidRPr="009E2812">
              <w:rPr>
                <w:sz w:val="18"/>
                <w:szCs w:val="18"/>
                <w:lang w:val="uk-UA" w:eastAsia="zh-CN"/>
              </w:rPr>
              <w:t>0 – 1,25</w:t>
            </w:r>
          </w:p>
        </w:tc>
      </w:tr>
      <w:tr w:rsidR="00B32EC0" w:rsidRPr="009E2812" w:rsidTr="00275793">
        <w:tc>
          <w:tcPr>
            <w:tcW w:w="2880" w:type="dxa"/>
            <w:tcBorders>
              <w:top w:val="single" w:sz="4" w:space="0" w:color="000000"/>
              <w:left w:val="single" w:sz="4" w:space="0" w:color="000000"/>
              <w:bottom w:val="single" w:sz="4" w:space="0" w:color="000000"/>
            </w:tcBorders>
          </w:tcPr>
          <w:p w:rsidR="00B32EC0" w:rsidRPr="009E2812" w:rsidRDefault="00B32EC0" w:rsidP="002C7EC4">
            <w:pPr>
              <w:suppressAutoHyphens/>
              <w:jc w:val="center"/>
              <w:rPr>
                <w:sz w:val="18"/>
                <w:szCs w:val="18"/>
                <w:lang w:val="uk-UA" w:eastAsia="zh-CN"/>
              </w:rPr>
            </w:pPr>
            <w:r w:rsidRPr="009E2812">
              <w:rPr>
                <w:sz w:val="18"/>
                <w:szCs w:val="18"/>
                <w:lang w:val="uk-UA" w:eastAsia="zh-CN"/>
              </w:rPr>
              <w:t>25 – 50</w:t>
            </w:r>
          </w:p>
        </w:tc>
        <w:tc>
          <w:tcPr>
            <w:tcW w:w="2700" w:type="dxa"/>
            <w:tcBorders>
              <w:top w:val="single" w:sz="4" w:space="0" w:color="000000"/>
              <w:left w:val="single" w:sz="4" w:space="0" w:color="000000"/>
              <w:bottom w:val="single" w:sz="4" w:space="0" w:color="000000"/>
            </w:tcBorders>
          </w:tcPr>
          <w:p w:rsidR="00B32EC0" w:rsidRPr="009E2812" w:rsidRDefault="00B32EC0" w:rsidP="002C7EC4">
            <w:pPr>
              <w:suppressAutoHyphens/>
              <w:jc w:val="center"/>
              <w:rPr>
                <w:sz w:val="18"/>
                <w:szCs w:val="18"/>
                <w:lang w:val="uk-UA" w:eastAsia="zh-CN"/>
              </w:rPr>
            </w:pPr>
            <w:r w:rsidRPr="009E2812">
              <w:rPr>
                <w:sz w:val="18"/>
                <w:szCs w:val="18"/>
                <w:lang w:val="uk-UA" w:eastAsia="zh-CN"/>
              </w:rPr>
              <w:t>4,67</w:t>
            </w:r>
          </w:p>
        </w:tc>
        <w:tc>
          <w:tcPr>
            <w:tcW w:w="3070" w:type="dxa"/>
            <w:tcBorders>
              <w:top w:val="single" w:sz="4" w:space="0" w:color="000000"/>
              <w:left w:val="single" w:sz="4" w:space="0" w:color="000000"/>
              <w:bottom w:val="single" w:sz="4" w:space="0" w:color="000000"/>
              <w:right w:val="single" w:sz="4" w:space="0" w:color="000000"/>
            </w:tcBorders>
          </w:tcPr>
          <w:p w:rsidR="00B32EC0" w:rsidRPr="009E2812" w:rsidRDefault="00B32EC0" w:rsidP="002C7EC4">
            <w:pPr>
              <w:suppressAutoHyphens/>
              <w:jc w:val="center"/>
              <w:rPr>
                <w:sz w:val="18"/>
                <w:szCs w:val="18"/>
                <w:lang w:val="uk-UA" w:eastAsia="zh-CN"/>
              </w:rPr>
            </w:pPr>
            <w:r w:rsidRPr="009E2812">
              <w:rPr>
                <w:sz w:val="18"/>
                <w:szCs w:val="18"/>
                <w:lang w:val="uk-UA" w:eastAsia="zh-CN"/>
              </w:rPr>
              <w:t>1,17 – 2,34</w:t>
            </w:r>
          </w:p>
        </w:tc>
      </w:tr>
      <w:tr w:rsidR="00B32EC0" w:rsidRPr="009E2812" w:rsidTr="00275793">
        <w:tc>
          <w:tcPr>
            <w:tcW w:w="2880" w:type="dxa"/>
            <w:tcBorders>
              <w:top w:val="single" w:sz="4" w:space="0" w:color="000000"/>
              <w:left w:val="single" w:sz="4" w:space="0" w:color="000000"/>
              <w:bottom w:val="single" w:sz="4" w:space="0" w:color="000000"/>
            </w:tcBorders>
          </w:tcPr>
          <w:p w:rsidR="00B32EC0" w:rsidRPr="009E2812" w:rsidRDefault="00B32EC0" w:rsidP="002C7EC4">
            <w:pPr>
              <w:suppressAutoHyphens/>
              <w:jc w:val="center"/>
              <w:rPr>
                <w:sz w:val="22"/>
                <w:szCs w:val="22"/>
                <w:lang w:val="uk-UA" w:eastAsia="zh-CN"/>
              </w:rPr>
            </w:pPr>
            <w:r w:rsidRPr="009E2812">
              <w:rPr>
                <w:sz w:val="22"/>
                <w:szCs w:val="22"/>
                <w:lang w:val="uk-UA" w:eastAsia="zh-CN"/>
              </w:rPr>
              <w:t>50 – 100</w:t>
            </w:r>
          </w:p>
        </w:tc>
        <w:tc>
          <w:tcPr>
            <w:tcW w:w="2700" w:type="dxa"/>
            <w:tcBorders>
              <w:top w:val="single" w:sz="4" w:space="0" w:color="000000"/>
              <w:left w:val="single" w:sz="4" w:space="0" w:color="000000"/>
              <w:bottom w:val="single" w:sz="4" w:space="0" w:color="000000"/>
            </w:tcBorders>
          </w:tcPr>
          <w:p w:rsidR="00B32EC0" w:rsidRPr="009E2812" w:rsidRDefault="00B32EC0" w:rsidP="002C7EC4">
            <w:pPr>
              <w:suppressAutoHyphens/>
              <w:jc w:val="center"/>
              <w:rPr>
                <w:sz w:val="22"/>
                <w:szCs w:val="22"/>
                <w:lang w:val="uk-UA" w:eastAsia="zh-CN"/>
              </w:rPr>
            </w:pPr>
            <w:r w:rsidRPr="009E2812">
              <w:rPr>
                <w:sz w:val="22"/>
                <w:szCs w:val="22"/>
                <w:lang w:val="uk-UA" w:eastAsia="zh-CN"/>
              </w:rPr>
              <w:t>4,37</w:t>
            </w:r>
          </w:p>
        </w:tc>
        <w:tc>
          <w:tcPr>
            <w:tcW w:w="3070" w:type="dxa"/>
            <w:tcBorders>
              <w:top w:val="single" w:sz="4" w:space="0" w:color="000000"/>
              <w:left w:val="single" w:sz="4" w:space="0" w:color="000000"/>
              <w:bottom w:val="single" w:sz="4" w:space="0" w:color="000000"/>
              <w:right w:val="single" w:sz="4" w:space="0" w:color="000000"/>
            </w:tcBorders>
          </w:tcPr>
          <w:p w:rsidR="00B32EC0" w:rsidRPr="009E2812" w:rsidRDefault="00B32EC0" w:rsidP="002C7EC4">
            <w:pPr>
              <w:suppressAutoHyphens/>
              <w:jc w:val="center"/>
              <w:rPr>
                <w:sz w:val="22"/>
                <w:szCs w:val="22"/>
                <w:lang w:val="uk-UA" w:eastAsia="zh-CN"/>
              </w:rPr>
            </w:pPr>
            <w:r w:rsidRPr="009E2812">
              <w:rPr>
                <w:sz w:val="22"/>
                <w:szCs w:val="22"/>
                <w:lang w:val="uk-UA" w:eastAsia="zh-CN"/>
              </w:rPr>
              <w:t>2,19 – 4,37</w:t>
            </w:r>
          </w:p>
        </w:tc>
      </w:tr>
      <w:tr w:rsidR="00B32EC0" w:rsidRPr="009E2812" w:rsidTr="00275793">
        <w:tc>
          <w:tcPr>
            <w:tcW w:w="2880" w:type="dxa"/>
            <w:tcBorders>
              <w:top w:val="single" w:sz="4" w:space="0" w:color="000000"/>
              <w:left w:val="single" w:sz="4" w:space="0" w:color="000000"/>
              <w:bottom w:val="single" w:sz="4" w:space="0" w:color="000000"/>
            </w:tcBorders>
          </w:tcPr>
          <w:p w:rsidR="00B32EC0" w:rsidRPr="009E2812" w:rsidRDefault="00B32EC0" w:rsidP="002C7EC4">
            <w:pPr>
              <w:suppressAutoHyphens/>
              <w:jc w:val="center"/>
              <w:rPr>
                <w:sz w:val="18"/>
                <w:szCs w:val="18"/>
                <w:lang w:val="uk-UA" w:eastAsia="zh-CN"/>
              </w:rPr>
            </w:pPr>
            <w:r w:rsidRPr="009E2812">
              <w:rPr>
                <w:sz w:val="18"/>
                <w:szCs w:val="18"/>
                <w:lang w:val="uk-UA" w:eastAsia="zh-CN"/>
              </w:rPr>
              <w:t>100 – 500</w:t>
            </w:r>
          </w:p>
        </w:tc>
        <w:tc>
          <w:tcPr>
            <w:tcW w:w="2700" w:type="dxa"/>
            <w:tcBorders>
              <w:top w:val="single" w:sz="4" w:space="0" w:color="000000"/>
              <w:left w:val="single" w:sz="4" w:space="0" w:color="000000"/>
              <w:bottom w:val="single" w:sz="4" w:space="0" w:color="000000"/>
            </w:tcBorders>
          </w:tcPr>
          <w:p w:rsidR="00B32EC0" w:rsidRPr="009E2812" w:rsidRDefault="00B32EC0" w:rsidP="002C7EC4">
            <w:pPr>
              <w:suppressAutoHyphens/>
              <w:jc w:val="center"/>
              <w:rPr>
                <w:sz w:val="18"/>
                <w:szCs w:val="18"/>
                <w:lang w:val="uk-UA" w:eastAsia="zh-CN"/>
              </w:rPr>
            </w:pPr>
            <w:r w:rsidRPr="009E2812">
              <w:rPr>
                <w:sz w:val="18"/>
                <w:szCs w:val="18"/>
                <w:lang w:val="uk-UA" w:eastAsia="zh-CN"/>
              </w:rPr>
              <w:t>3,07</w:t>
            </w:r>
          </w:p>
        </w:tc>
        <w:tc>
          <w:tcPr>
            <w:tcW w:w="3070" w:type="dxa"/>
            <w:tcBorders>
              <w:top w:val="single" w:sz="4" w:space="0" w:color="000000"/>
              <w:left w:val="single" w:sz="4" w:space="0" w:color="000000"/>
              <w:bottom w:val="single" w:sz="4" w:space="0" w:color="000000"/>
              <w:right w:val="single" w:sz="4" w:space="0" w:color="000000"/>
            </w:tcBorders>
          </w:tcPr>
          <w:p w:rsidR="00B32EC0" w:rsidRPr="009E2812" w:rsidRDefault="00B32EC0" w:rsidP="002C7EC4">
            <w:pPr>
              <w:suppressAutoHyphens/>
              <w:jc w:val="center"/>
              <w:rPr>
                <w:sz w:val="18"/>
                <w:szCs w:val="18"/>
                <w:lang w:val="uk-UA" w:eastAsia="zh-CN"/>
              </w:rPr>
            </w:pPr>
            <w:r w:rsidRPr="009E2812">
              <w:rPr>
                <w:sz w:val="18"/>
                <w:szCs w:val="18"/>
                <w:lang w:val="uk-UA" w:eastAsia="zh-CN"/>
              </w:rPr>
              <w:t>3,07 – 15,35</w:t>
            </w:r>
          </w:p>
        </w:tc>
      </w:tr>
      <w:tr w:rsidR="00B32EC0" w:rsidRPr="009E2812" w:rsidTr="00275793">
        <w:tc>
          <w:tcPr>
            <w:tcW w:w="2880" w:type="dxa"/>
            <w:tcBorders>
              <w:top w:val="single" w:sz="4" w:space="0" w:color="000000"/>
              <w:left w:val="single" w:sz="4" w:space="0" w:color="000000"/>
              <w:bottom w:val="single" w:sz="4" w:space="0" w:color="000000"/>
            </w:tcBorders>
          </w:tcPr>
          <w:p w:rsidR="00B32EC0" w:rsidRPr="009E2812" w:rsidRDefault="00B32EC0" w:rsidP="002C7EC4">
            <w:pPr>
              <w:suppressAutoHyphens/>
              <w:jc w:val="center"/>
              <w:rPr>
                <w:sz w:val="18"/>
                <w:szCs w:val="18"/>
                <w:lang w:val="uk-UA" w:eastAsia="zh-CN"/>
              </w:rPr>
            </w:pPr>
            <w:r w:rsidRPr="009E2812">
              <w:rPr>
                <w:sz w:val="18"/>
                <w:szCs w:val="18"/>
                <w:lang w:val="uk-UA" w:eastAsia="zh-CN"/>
              </w:rPr>
              <w:t>500 – 2 000</w:t>
            </w:r>
          </w:p>
        </w:tc>
        <w:tc>
          <w:tcPr>
            <w:tcW w:w="2700" w:type="dxa"/>
            <w:tcBorders>
              <w:top w:val="single" w:sz="4" w:space="0" w:color="000000"/>
              <w:left w:val="single" w:sz="4" w:space="0" w:color="000000"/>
              <w:bottom w:val="single" w:sz="4" w:space="0" w:color="000000"/>
            </w:tcBorders>
          </w:tcPr>
          <w:p w:rsidR="00B32EC0" w:rsidRPr="009E2812" w:rsidRDefault="00B32EC0" w:rsidP="002C7EC4">
            <w:pPr>
              <w:suppressAutoHyphens/>
              <w:jc w:val="center"/>
              <w:rPr>
                <w:sz w:val="18"/>
                <w:szCs w:val="18"/>
                <w:lang w:val="uk-UA" w:eastAsia="zh-CN"/>
              </w:rPr>
            </w:pPr>
            <w:r w:rsidRPr="009E2812">
              <w:rPr>
                <w:sz w:val="18"/>
                <w:szCs w:val="18"/>
                <w:lang w:val="uk-UA" w:eastAsia="zh-CN"/>
              </w:rPr>
              <w:t>3,77</w:t>
            </w:r>
          </w:p>
        </w:tc>
        <w:tc>
          <w:tcPr>
            <w:tcW w:w="3070" w:type="dxa"/>
            <w:tcBorders>
              <w:top w:val="single" w:sz="4" w:space="0" w:color="000000"/>
              <w:left w:val="single" w:sz="4" w:space="0" w:color="000000"/>
              <w:bottom w:val="single" w:sz="4" w:space="0" w:color="000000"/>
              <w:right w:val="single" w:sz="4" w:space="0" w:color="000000"/>
            </w:tcBorders>
          </w:tcPr>
          <w:p w:rsidR="00B32EC0" w:rsidRPr="009E2812" w:rsidRDefault="00B32EC0" w:rsidP="002C7EC4">
            <w:pPr>
              <w:suppressAutoHyphens/>
              <w:jc w:val="center"/>
              <w:rPr>
                <w:sz w:val="18"/>
                <w:szCs w:val="18"/>
                <w:lang w:val="uk-UA" w:eastAsia="zh-CN"/>
              </w:rPr>
            </w:pPr>
            <w:r w:rsidRPr="009E2812">
              <w:rPr>
                <w:sz w:val="18"/>
                <w:szCs w:val="18"/>
                <w:lang w:val="uk-UA" w:eastAsia="zh-CN"/>
              </w:rPr>
              <w:t>18,85 – 75,4</w:t>
            </w:r>
          </w:p>
        </w:tc>
      </w:tr>
      <w:tr w:rsidR="00B32EC0" w:rsidRPr="009E2812" w:rsidTr="00275793">
        <w:tc>
          <w:tcPr>
            <w:tcW w:w="2880" w:type="dxa"/>
            <w:tcBorders>
              <w:top w:val="single" w:sz="4" w:space="0" w:color="000000"/>
              <w:left w:val="single" w:sz="4" w:space="0" w:color="000000"/>
              <w:bottom w:val="single" w:sz="4" w:space="0" w:color="000000"/>
            </w:tcBorders>
          </w:tcPr>
          <w:p w:rsidR="00B32EC0" w:rsidRPr="009E2812" w:rsidRDefault="00B32EC0" w:rsidP="002C7EC4">
            <w:pPr>
              <w:suppressAutoHyphens/>
              <w:jc w:val="center"/>
              <w:rPr>
                <w:sz w:val="18"/>
                <w:szCs w:val="18"/>
                <w:lang w:val="uk-UA" w:eastAsia="zh-CN"/>
              </w:rPr>
            </w:pPr>
            <w:r w:rsidRPr="009E2812">
              <w:rPr>
                <w:sz w:val="18"/>
                <w:szCs w:val="18"/>
                <w:lang w:val="uk-UA" w:eastAsia="zh-CN"/>
              </w:rPr>
              <w:t xml:space="preserve">2 000 – 5 000 </w:t>
            </w:r>
          </w:p>
        </w:tc>
        <w:tc>
          <w:tcPr>
            <w:tcW w:w="2700" w:type="dxa"/>
            <w:tcBorders>
              <w:top w:val="single" w:sz="4" w:space="0" w:color="000000"/>
              <w:left w:val="single" w:sz="4" w:space="0" w:color="000000"/>
              <w:bottom w:val="single" w:sz="4" w:space="0" w:color="000000"/>
            </w:tcBorders>
          </w:tcPr>
          <w:p w:rsidR="00B32EC0" w:rsidRPr="009E2812" w:rsidRDefault="00B32EC0" w:rsidP="002C7EC4">
            <w:pPr>
              <w:suppressAutoHyphens/>
              <w:jc w:val="center"/>
              <w:rPr>
                <w:sz w:val="18"/>
                <w:szCs w:val="18"/>
                <w:lang w:val="uk-UA" w:eastAsia="zh-CN"/>
              </w:rPr>
            </w:pPr>
            <w:r w:rsidRPr="009E2812">
              <w:rPr>
                <w:sz w:val="18"/>
                <w:szCs w:val="18"/>
                <w:lang w:val="uk-UA" w:eastAsia="zh-CN"/>
              </w:rPr>
              <w:t>2,27</w:t>
            </w:r>
          </w:p>
        </w:tc>
        <w:tc>
          <w:tcPr>
            <w:tcW w:w="3070" w:type="dxa"/>
            <w:tcBorders>
              <w:top w:val="single" w:sz="4" w:space="0" w:color="000000"/>
              <w:left w:val="single" w:sz="4" w:space="0" w:color="000000"/>
              <w:bottom w:val="single" w:sz="4" w:space="0" w:color="000000"/>
              <w:right w:val="single" w:sz="4" w:space="0" w:color="000000"/>
            </w:tcBorders>
          </w:tcPr>
          <w:p w:rsidR="00B32EC0" w:rsidRPr="009E2812" w:rsidRDefault="00B32EC0" w:rsidP="002C7EC4">
            <w:pPr>
              <w:suppressAutoHyphens/>
              <w:jc w:val="center"/>
              <w:rPr>
                <w:sz w:val="18"/>
                <w:szCs w:val="18"/>
                <w:lang w:val="uk-UA" w:eastAsia="zh-CN"/>
              </w:rPr>
            </w:pPr>
            <w:r w:rsidRPr="009E2812">
              <w:rPr>
                <w:sz w:val="18"/>
                <w:szCs w:val="18"/>
                <w:lang w:val="uk-UA" w:eastAsia="zh-CN"/>
              </w:rPr>
              <w:t>45,4 – 113,5</w:t>
            </w:r>
          </w:p>
        </w:tc>
      </w:tr>
      <w:tr w:rsidR="00B32EC0" w:rsidRPr="009E2812" w:rsidTr="00275793">
        <w:tc>
          <w:tcPr>
            <w:tcW w:w="2880" w:type="dxa"/>
            <w:tcBorders>
              <w:top w:val="single" w:sz="4" w:space="0" w:color="000000"/>
              <w:left w:val="single" w:sz="4" w:space="0" w:color="000000"/>
              <w:bottom w:val="single" w:sz="4" w:space="0" w:color="000000"/>
            </w:tcBorders>
          </w:tcPr>
          <w:p w:rsidR="00B32EC0" w:rsidRPr="009E2812" w:rsidRDefault="00B32EC0" w:rsidP="002C7EC4">
            <w:pPr>
              <w:suppressAutoHyphens/>
              <w:jc w:val="center"/>
              <w:rPr>
                <w:sz w:val="18"/>
                <w:szCs w:val="18"/>
                <w:lang w:val="uk-UA" w:eastAsia="zh-CN"/>
              </w:rPr>
            </w:pPr>
            <w:r w:rsidRPr="009E2812">
              <w:rPr>
                <w:sz w:val="18"/>
                <w:szCs w:val="18"/>
                <w:lang w:val="uk-UA" w:eastAsia="zh-CN"/>
              </w:rPr>
              <w:t>5 000 – 10 000</w:t>
            </w:r>
          </w:p>
        </w:tc>
        <w:tc>
          <w:tcPr>
            <w:tcW w:w="2700" w:type="dxa"/>
            <w:tcBorders>
              <w:top w:val="single" w:sz="4" w:space="0" w:color="000000"/>
              <w:left w:val="single" w:sz="4" w:space="0" w:color="000000"/>
              <w:bottom w:val="single" w:sz="4" w:space="0" w:color="000000"/>
            </w:tcBorders>
          </w:tcPr>
          <w:p w:rsidR="00B32EC0" w:rsidRPr="009E2812" w:rsidRDefault="00B32EC0" w:rsidP="002C7EC4">
            <w:pPr>
              <w:suppressAutoHyphens/>
              <w:jc w:val="center"/>
              <w:rPr>
                <w:sz w:val="18"/>
                <w:szCs w:val="18"/>
                <w:lang w:val="uk-UA" w:eastAsia="zh-CN"/>
              </w:rPr>
            </w:pPr>
            <w:r w:rsidRPr="009E2812">
              <w:rPr>
                <w:sz w:val="18"/>
                <w:szCs w:val="18"/>
                <w:lang w:val="uk-UA" w:eastAsia="zh-CN"/>
              </w:rPr>
              <w:t>2,17</w:t>
            </w:r>
          </w:p>
        </w:tc>
        <w:tc>
          <w:tcPr>
            <w:tcW w:w="3070" w:type="dxa"/>
            <w:tcBorders>
              <w:top w:val="single" w:sz="4" w:space="0" w:color="000000"/>
              <w:left w:val="single" w:sz="4" w:space="0" w:color="000000"/>
              <w:bottom w:val="single" w:sz="4" w:space="0" w:color="000000"/>
              <w:right w:val="single" w:sz="4" w:space="0" w:color="000000"/>
            </w:tcBorders>
          </w:tcPr>
          <w:p w:rsidR="00B32EC0" w:rsidRPr="009E2812" w:rsidRDefault="00B32EC0" w:rsidP="002C7EC4">
            <w:pPr>
              <w:suppressAutoHyphens/>
              <w:jc w:val="center"/>
              <w:rPr>
                <w:sz w:val="18"/>
                <w:szCs w:val="18"/>
                <w:lang w:val="uk-UA" w:eastAsia="zh-CN"/>
              </w:rPr>
            </w:pPr>
            <w:r w:rsidRPr="009E2812">
              <w:rPr>
                <w:sz w:val="18"/>
                <w:szCs w:val="18"/>
                <w:lang w:val="uk-UA" w:eastAsia="zh-CN"/>
              </w:rPr>
              <w:t>108,5 – 217</w:t>
            </w:r>
          </w:p>
        </w:tc>
      </w:tr>
      <w:tr w:rsidR="00B32EC0" w:rsidRPr="009E2812" w:rsidTr="00275793">
        <w:tc>
          <w:tcPr>
            <w:tcW w:w="2880" w:type="dxa"/>
            <w:tcBorders>
              <w:top w:val="single" w:sz="4" w:space="0" w:color="000000"/>
              <w:left w:val="single" w:sz="4" w:space="0" w:color="000000"/>
              <w:bottom w:val="single" w:sz="4" w:space="0" w:color="000000"/>
            </w:tcBorders>
          </w:tcPr>
          <w:p w:rsidR="00B32EC0" w:rsidRPr="009E2812" w:rsidRDefault="00B32EC0" w:rsidP="002C7EC4">
            <w:pPr>
              <w:suppressAutoHyphens/>
              <w:jc w:val="center"/>
              <w:rPr>
                <w:b/>
                <w:i/>
                <w:sz w:val="18"/>
                <w:szCs w:val="18"/>
                <w:lang w:val="uk-UA" w:eastAsia="zh-CN"/>
              </w:rPr>
            </w:pPr>
            <w:r w:rsidRPr="009E2812">
              <w:rPr>
                <w:b/>
                <w:i/>
                <w:sz w:val="18"/>
                <w:szCs w:val="18"/>
                <w:lang w:val="uk-UA" w:eastAsia="zh-CN"/>
              </w:rPr>
              <w:t>10 000 – 100 000 й вище</w:t>
            </w:r>
          </w:p>
        </w:tc>
        <w:tc>
          <w:tcPr>
            <w:tcW w:w="2700" w:type="dxa"/>
            <w:tcBorders>
              <w:top w:val="single" w:sz="4" w:space="0" w:color="000000"/>
              <w:left w:val="single" w:sz="4" w:space="0" w:color="000000"/>
              <w:bottom w:val="single" w:sz="4" w:space="0" w:color="000000"/>
            </w:tcBorders>
          </w:tcPr>
          <w:p w:rsidR="00B32EC0" w:rsidRPr="009E2812" w:rsidRDefault="00B32EC0" w:rsidP="002C7EC4">
            <w:pPr>
              <w:suppressAutoHyphens/>
              <w:jc w:val="center"/>
              <w:rPr>
                <w:b/>
                <w:i/>
                <w:sz w:val="18"/>
                <w:szCs w:val="18"/>
                <w:lang w:val="uk-UA" w:eastAsia="zh-CN"/>
              </w:rPr>
            </w:pPr>
            <w:r w:rsidRPr="009E2812">
              <w:rPr>
                <w:b/>
                <w:i/>
                <w:sz w:val="18"/>
                <w:szCs w:val="18"/>
                <w:lang w:val="uk-UA" w:eastAsia="zh-CN"/>
              </w:rPr>
              <w:t>2,0</w:t>
            </w:r>
          </w:p>
        </w:tc>
        <w:tc>
          <w:tcPr>
            <w:tcW w:w="3070" w:type="dxa"/>
            <w:tcBorders>
              <w:top w:val="single" w:sz="4" w:space="0" w:color="000000"/>
              <w:left w:val="single" w:sz="4" w:space="0" w:color="000000"/>
              <w:bottom w:val="single" w:sz="4" w:space="0" w:color="000000"/>
              <w:right w:val="single" w:sz="4" w:space="0" w:color="000000"/>
            </w:tcBorders>
          </w:tcPr>
          <w:p w:rsidR="00B32EC0" w:rsidRPr="009E2812" w:rsidRDefault="00B32EC0" w:rsidP="002C7EC4">
            <w:pPr>
              <w:suppressAutoHyphens/>
              <w:jc w:val="center"/>
              <w:rPr>
                <w:b/>
                <w:i/>
                <w:sz w:val="18"/>
                <w:szCs w:val="18"/>
                <w:lang w:val="uk-UA" w:eastAsia="zh-CN"/>
              </w:rPr>
            </w:pPr>
            <w:r w:rsidRPr="009E2812">
              <w:rPr>
                <w:b/>
                <w:i/>
                <w:sz w:val="18"/>
                <w:szCs w:val="18"/>
                <w:lang w:val="uk-UA" w:eastAsia="zh-CN"/>
              </w:rPr>
              <w:t>200 –  2000 й вище</w:t>
            </w:r>
          </w:p>
        </w:tc>
      </w:tr>
    </w:tbl>
    <w:p w:rsidR="00B32EC0" w:rsidRPr="009E2812" w:rsidRDefault="00B32EC0" w:rsidP="002C7EC4">
      <w:pPr>
        <w:tabs>
          <w:tab w:val="num" w:pos="720"/>
        </w:tabs>
        <w:jc w:val="both"/>
        <w:rPr>
          <w:lang w:val="uk-UA"/>
        </w:rPr>
      </w:pPr>
    </w:p>
    <w:p w:rsidR="00B32EC0" w:rsidRPr="009E2812" w:rsidRDefault="00B32EC0" w:rsidP="002C7EC4">
      <w:pPr>
        <w:suppressAutoHyphens/>
        <w:ind w:left="720"/>
        <w:jc w:val="both"/>
        <w:rPr>
          <w:sz w:val="24"/>
          <w:szCs w:val="24"/>
          <w:lang w:val="uk-UA" w:eastAsia="zh-CN"/>
        </w:rPr>
      </w:pPr>
      <w:r w:rsidRPr="009E2812">
        <w:rPr>
          <w:sz w:val="24"/>
          <w:szCs w:val="24"/>
          <w:lang w:val="uk-UA" w:eastAsia="zh-CN"/>
        </w:rPr>
        <w:t>Як основа для розрахунку рівня суттєвості, брався показник фінансової звітності – валюта Балансу (Звіту про фінансовий стан) станом на 31.12.2014 р.</w:t>
      </w:r>
    </w:p>
    <w:p w:rsidR="00B32EC0" w:rsidRPr="009E2812" w:rsidRDefault="00B32EC0" w:rsidP="002C7EC4">
      <w:pPr>
        <w:suppressAutoHyphens/>
        <w:ind w:left="720"/>
        <w:jc w:val="both"/>
        <w:rPr>
          <w:sz w:val="24"/>
          <w:szCs w:val="24"/>
          <w:lang w:val="uk-UA" w:eastAsia="zh-CN"/>
        </w:rPr>
      </w:pPr>
    </w:p>
    <w:p w:rsidR="00B32EC0" w:rsidRPr="009E2812" w:rsidRDefault="00B32EC0" w:rsidP="002C7EC4">
      <w:pPr>
        <w:suppressAutoHyphens/>
        <w:ind w:left="720"/>
        <w:jc w:val="both"/>
        <w:rPr>
          <w:sz w:val="24"/>
          <w:szCs w:val="24"/>
          <w:lang w:val="uk-UA" w:eastAsia="zh-CN"/>
        </w:rPr>
      </w:pPr>
      <w:r w:rsidRPr="009E2812">
        <w:rPr>
          <w:sz w:val="24"/>
          <w:szCs w:val="24"/>
          <w:lang w:val="uk-UA" w:eastAsia="zh-CN"/>
        </w:rPr>
        <w:t xml:space="preserve">Отже, станом на 31.12.2014 р. валюта Балансу (Звіту про фінансовий стан) становила 45 368 тис. грн., відповідно – рівень (межа, границя) суттєвості визначена на рівні </w:t>
      </w:r>
      <w:r>
        <w:rPr>
          <w:sz w:val="24"/>
          <w:szCs w:val="24"/>
          <w:lang w:val="uk-UA" w:eastAsia="zh-CN"/>
        </w:rPr>
        <w:t>907</w:t>
      </w:r>
      <w:r w:rsidRPr="009E2812">
        <w:rPr>
          <w:sz w:val="24"/>
          <w:szCs w:val="24"/>
          <w:lang w:val="uk-UA" w:eastAsia="zh-CN"/>
        </w:rPr>
        <w:t>,</w:t>
      </w:r>
      <w:r>
        <w:rPr>
          <w:sz w:val="24"/>
          <w:szCs w:val="24"/>
          <w:lang w:val="uk-UA" w:eastAsia="zh-CN"/>
        </w:rPr>
        <w:t>4</w:t>
      </w:r>
      <w:r w:rsidRPr="009E2812">
        <w:rPr>
          <w:sz w:val="24"/>
          <w:szCs w:val="24"/>
          <w:lang w:val="uk-UA" w:eastAsia="zh-CN"/>
        </w:rPr>
        <w:t xml:space="preserve"> тис. грн. Це означає, що всі можливі випадки допустимих помилок в сумі </w:t>
      </w:r>
      <w:r>
        <w:rPr>
          <w:sz w:val="24"/>
          <w:szCs w:val="24"/>
          <w:lang w:val="uk-UA" w:eastAsia="zh-CN"/>
        </w:rPr>
        <w:t>907</w:t>
      </w:r>
      <w:r w:rsidRPr="009E2812">
        <w:rPr>
          <w:sz w:val="24"/>
          <w:szCs w:val="24"/>
          <w:lang w:val="uk-UA" w:eastAsia="zh-CN"/>
        </w:rPr>
        <w:t>,</w:t>
      </w:r>
      <w:r>
        <w:rPr>
          <w:sz w:val="24"/>
          <w:szCs w:val="24"/>
          <w:lang w:val="uk-UA" w:eastAsia="zh-CN"/>
        </w:rPr>
        <w:t>4</w:t>
      </w:r>
      <w:r w:rsidRPr="009E2812">
        <w:rPr>
          <w:sz w:val="24"/>
          <w:szCs w:val="24"/>
          <w:lang w:val="uk-UA" w:eastAsia="zh-CN"/>
        </w:rPr>
        <w:t xml:space="preserve"> тис. грн. і вище розглядались як суттєві.  </w:t>
      </w:r>
    </w:p>
    <w:p w:rsidR="00B32EC0" w:rsidRPr="009E2812" w:rsidRDefault="00B32EC0" w:rsidP="002C7EC4">
      <w:pPr>
        <w:suppressAutoHyphens/>
        <w:ind w:left="720"/>
        <w:jc w:val="both"/>
        <w:rPr>
          <w:sz w:val="24"/>
          <w:szCs w:val="24"/>
          <w:lang w:val="uk-UA" w:eastAsia="zh-CN"/>
        </w:rPr>
      </w:pPr>
      <w:r w:rsidRPr="009E2812">
        <w:rPr>
          <w:sz w:val="24"/>
          <w:szCs w:val="24"/>
          <w:lang w:val="uk-UA" w:eastAsia="zh-CN"/>
        </w:rPr>
        <w:t>З урахуванням рівня суттєвості перевірки та інших властивих аудиту обмежень, існує ймовірність того, що будь-які істотні помилки можуть залишитись не знайденими.</w:t>
      </w:r>
    </w:p>
    <w:p w:rsidR="00B32EC0" w:rsidRPr="009E2812" w:rsidRDefault="00B32EC0" w:rsidP="002C7EC4">
      <w:pPr>
        <w:suppressAutoHyphens/>
        <w:ind w:left="720"/>
        <w:jc w:val="both"/>
        <w:rPr>
          <w:sz w:val="24"/>
          <w:szCs w:val="24"/>
          <w:lang w:val="uk-UA" w:eastAsia="zh-CN"/>
        </w:rPr>
      </w:pPr>
    </w:p>
    <w:p w:rsidR="00B32EC0" w:rsidRPr="009E2812" w:rsidRDefault="00B32EC0" w:rsidP="006D56C4">
      <w:pPr>
        <w:suppressAutoHyphens/>
        <w:ind w:left="720"/>
        <w:jc w:val="both"/>
        <w:rPr>
          <w:sz w:val="24"/>
          <w:szCs w:val="24"/>
          <w:lang w:val="uk-UA" w:eastAsia="zh-CN"/>
        </w:rPr>
      </w:pPr>
      <w:r w:rsidRPr="009E2812">
        <w:rPr>
          <w:sz w:val="24"/>
          <w:szCs w:val="24"/>
          <w:lang w:val="uk-UA" w:eastAsia="zh-CN"/>
        </w:rPr>
        <w:t>Інформація, що міститься у цьому звіті, базується на даних бухгалтерського обліку, звітності та документах ВПФ «ФАРМАЦЕВТИЧНИЙ», що були надані аудитору керівниками та працівниками Компанії-Адміністратора, яка вважається надійною та достовірною.</w:t>
      </w:r>
    </w:p>
    <w:p w:rsidR="00B32EC0" w:rsidRPr="009E2812" w:rsidRDefault="00B32EC0" w:rsidP="006D56C4">
      <w:pPr>
        <w:suppressAutoHyphens/>
        <w:ind w:left="720"/>
        <w:jc w:val="both"/>
        <w:rPr>
          <w:sz w:val="24"/>
          <w:szCs w:val="24"/>
          <w:lang w:val="uk-UA" w:eastAsia="zh-CN"/>
        </w:rPr>
      </w:pPr>
    </w:p>
    <w:p w:rsidR="00B32EC0" w:rsidRPr="009E2812" w:rsidRDefault="00B32EC0" w:rsidP="006D56C4">
      <w:pPr>
        <w:suppressAutoHyphens/>
        <w:ind w:left="720"/>
        <w:jc w:val="both"/>
        <w:rPr>
          <w:sz w:val="24"/>
          <w:szCs w:val="24"/>
          <w:lang w:val="uk-UA" w:eastAsia="zh-CN"/>
        </w:rPr>
      </w:pPr>
      <w:r w:rsidRPr="009E2812">
        <w:rPr>
          <w:sz w:val="24"/>
          <w:szCs w:val="24"/>
          <w:lang w:val="uk-UA" w:eastAsia="zh-CN"/>
        </w:rPr>
        <w:t>Бухгалтерський облік Фонду в цілому відповідає вимогам вищезазначених нормативних актів. Всі активи і пасиви Фонду обліковані і відображені у фінансовій звітності. Статті балансу відповідають даним синтетичного обліку. Дані синтетичного обліку відповідають даним звітних форм.</w:t>
      </w:r>
    </w:p>
    <w:p w:rsidR="00B32EC0" w:rsidRPr="009E2812" w:rsidRDefault="00B32EC0" w:rsidP="002C7EC4">
      <w:pPr>
        <w:suppressAutoHyphens/>
        <w:ind w:left="720"/>
        <w:jc w:val="both"/>
        <w:rPr>
          <w:sz w:val="24"/>
          <w:szCs w:val="24"/>
          <w:lang w:val="uk-UA" w:eastAsia="zh-CN"/>
        </w:rPr>
      </w:pPr>
    </w:p>
    <w:p w:rsidR="00B32EC0" w:rsidRPr="009E2812" w:rsidRDefault="00B32EC0" w:rsidP="002C7EC4">
      <w:pPr>
        <w:pStyle w:val="BodyTextIndent"/>
        <w:ind w:firstLine="709"/>
        <w:rPr>
          <w:rFonts w:ascii="Times New Roman" w:hAnsi="Times New Roman"/>
          <w:lang w:val="uk-UA"/>
        </w:rPr>
      </w:pPr>
    </w:p>
    <w:p w:rsidR="00B32EC0" w:rsidRPr="009E2812" w:rsidRDefault="00B32EC0" w:rsidP="006D56C4">
      <w:pPr>
        <w:ind w:left="720"/>
        <w:jc w:val="both"/>
        <w:rPr>
          <w:sz w:val="24"/>
          <w:szCs w:val="24"/>
          <w:lang w:val="uk-UA"/>
        </w:rPr>
      </w:pPr>
      <w:r w:rsidRPr="009E2812">
        <w:rPr>
          <w:sz w:val="24"/>
          <w:szCs w:val="24"/>
          <w:lang w:val="uk-UA"/>
        </w:rPr>
        <w:t>Аудиторська перевірка фінансо</w:t>
      </w:r>
      <w:r w:rsidRPr="00611C5F">
        <w:rPr>
          <w:sz w:val="24"/>
          <w:szCs w:val="24"/>
          <w:lang w:val="uk-UA"/>
        </w:rPr>
        <w:t>вої звітності Фонду за 2013 рік була здійснена іншим аудитором – ТОВ «Аудиторська група «ГАРАНТІЯ-АУДИТ» - в звіті якого від 28.02.2014 р. (реєстраційний № 24) міститься безумовно-позитивна думка про фінансову звітність Компанії.</w:t>
      </w:r>
    </w:p>
    <w:p w:rsidR="00B32EC0" w:rsidRPr="009E2812" w:rsidRDefault="00B32EC0" w:rsidP="00A37620">
      <w:pPr>
        <w:suppressAutoHyphens/>
        <w:ind w:left="720"/>
        <w:jc w:val="both"/>
        <w:rPr>
          <w:sz w:val="24"/>
          <w:szCs w:val="24"/>
          <w:lang w:val="uk-UA" w:eastAsia="zh-CN"/>
        </w:rPr>
      </w:pPr>
    </w:p>
    <w:p w:rsidR="00B32EC0" w:rsidRPr="009E2812" w:rsidRDefault="00B32EC0" w:rsidP="00A37620">
      <w:pPr>
        <w:suppressAutoHyphens/>
        <w:ind w:left="720"/>
        <w:jc w:val="both"/>
        <w:rPr>
          <w:sz w:val="24"/>
          <w:szCs w:val="24"/>
          <w:lang w:val="uk-UA" w:eastAsia="zh-CN"/>
        </w:rPr>
      </w:pPr>
      <w:r w:rsidRPr="009E2812">
        <w:rPr>
          <w:sz w:val="24"/>
          <w:szCs w:val="24"/>
          <w:lang w:val="uk-UA" w:eastAsia="zh-CN"/>
        </w:rPr>
        <w:t>Аудитор вважає, що отримані аудиторські докази є незалежними та достатніми і надають підстави для висловлення професійної думки.</w:t>
      </w:r>
    </w:p>
    <w:p w:rsidR="00B32EC0" w:rsidRPr="009E2812" w:rsidRDefault="00B32EC0" w:rsidP="002C7EC4">
      <w:pPr>
        <w:suppressAutoHyphens/>
        <w:ind w:left="720"/>
        <w:jc w:val="both"/>
        <w:rPr>
          <w:sz w:val="24"/>
          <w:szCs w:val="24"/>
          <w:lang w:val="uk-UA" w:eastAsia="zh-CN"/>
        </w:rPr>
      </w:pPr>
      <w:r w:rsidRPr="009E2812">
        <w:rPr>
          <w:sz w:val="24"/>
          <w:szCs w:val="24"/>
          <w:lang w:val="uk-UA" w:eastAsia="zh-CN"/>
        </w:rPr>
        <w:t>Отже, аудиторський висновок було модифіковано відповідним чином на підставі МСА 705 «Модифікація думки у звіті незалежного аудитора».</w:t>
      </w:r>
    </w:p>
    <w:p w:rsidR="00B32EC0" w:rsidRPr="009E2812" w:rsidRDefault="00B32EC0" w:rsidP="002C7EC4">
      <w:pPr>
        <w:suppressAutoHyphens/>
        <w:ind w:left="720"/>
        <w:jc w:val="both"/>
        <w:rPr>
          <w:sz w:val="24"/>
          <w:szCs w:val="24"/>
          <w:lang w:val="uk-UA" w:eastAsia="zh-CN"/>
        </w:rPr>
      </w:pPr>
    </w:p>
    <w:p w:rsidR="00B32EC0" w:rsidRPr="009E2812" w:rsidRDefault="00B32EC0" w:rsidP="002C7EC4">
      <w:pPr>
        <w:suppressAutoHyphens/>
        <w:jc w:val="both"/>
        <w:rPr>
          <w:sz w:val="24"/>
          <w:szCs w:val="24"/>
          <w:lang w:val="uk-UA" w:eastAsia="zh-CN"/>
        </w:rPr>
      </w:pPr>
    </w:p>
    <w:p w:rsidR="00B32EC0" w:rsidRPr="009E2812" w:rsidRDefault="00B32EC0" w:rsidP="00611C5F">
      <w:pPr>
        <w:numPr>
          <w:ilvl w:val="1"/>
          <w:numId w:val="13"/>
        </w:numPr>
        <w:ind w:hanging="796"/>
        <w:jc w:val="both"/>
        <w:rPr>
          <w:b/>
          <w:i/>
          <w:caps/>
          <w:sz w:val="24"/>
          <w:szCs w:val="24"/>
          <w:lang w:val="uk-UA" w:eastAsia="uk-UA"/>
        </w:rPr>
      </w:pPr>
      <w:r w:rsidRPr="009E2812">
        <w:rPr>
          <w:b/>
          <w:i/>
          <w:caps/>
          <w:sz w:val="24"/>
          <w:szCs w:val="24"/>
          <w:lang w:val="uk-UA" w:eastAsia="uk-UA"/>
        </w:rPr>
        <w:t>виСЛОВЛЕННЯ ПРОФЕСІЙНОЇ ДУМКИ АУДИТОРА</w:t>
      </w:r>
    </w:p>
    <w:p w:rsidR="00B32EC0" w:rsidRPr="009E2812" w:rsidRDefault="00B32EC0" w:rsidP="002C7EC4">
      <w:pPr>
        <w:tabs>
          <w:tab w:val="num" w:pos="720"/>
        </w:tabs>
        <w:jc w:val="both"/>
        <w:rPr>
          <w:b/>
          <w:i/>
          <w:sz w:val="22"/>
          <w:szCs w:val="22"/>
          <w:lang w:val="uk-UA"/>
        </w:rPr>
      </w:pPr>
    </w:p>
    <w:p w:rsidR="00B32EC0" w:rsidRDefault="00B32EC0" w:rsidP="001D011F">
      <w:pPr>
        <w:ind w:left="1080"/>
        <w:jc w:val="both"/>
        <w:rPr>
          <w:b/>
          <w:i/>
          <w:sz w:val="24"/>
          <w:szCs w:val="24"/>
          <w:lang w:val="uk-UA"/>
        </w:rPr>
      </w:pPr>
      <w:r>
        <w:rPr>
          <w:b/>
          <w:i/>
          <w:sz w:val="24"/>
          <w:szCs w:val="24"/>
          <w:lang w:val="uk-UA"/>
        </w:rPr>
        <w:t xml:space="preserve">Безумовно-позитивна думка </w:t>
      </w:r>
    </w:p>
    <w:p w:rsidR="00B32EC0" w:rsidRPr="00BA7D68" w:rsidRDefault="00B32EC0" w:rsidP="001D011F">
      <w:pPr>
        <w:ind w:left="1080"/>
        <w:jc w:val="both"/>
        <w:rPr>
          <w:b/>
          <w:i/>
          <w:sz w:val="10"/>
          <w:szCs w:val="10"/>
          <w:lang w:val="uk-UA"/>
        </w:rPr>
      </w:pPr>
    </w:p>
    <w:p w:rsidR="00B32EC0" w:rsidRPr="001D011F" w:rsidRDefault="00B32EC0" w:rsidP="001D011F">
      <w:pPr>
        <w:ind w:left="1080"/>
        <w:jc w:val="both"/>
        <w:rPr>
          <w:b/>
          <w:i/>
          <w:sz w:val="24"/>
          <w:szCs w:val="24"/>
          <w:lang w:val="uk-UA"/>
        </w:rPr>
      </w:pPr>
      <w:r w:rsidRPr="001D011F">
        <w:rPr>
          <w:b/>
          <w:i/>
          <w:sz w:val="24"/>
          <w:szCs w:val="24"/>
          <w:lang w:val="uk-UA"/>
        </w:rPr>
        <w:t>Концептуальна основа при складанні фінансових звітів Фонду – Закон України «Про бухгалтерський облік та фінансову звітність в Україні» № 996-ХІV від 16.07.</w:t>
      </w:r>
      <w:r>
        <w:rPr>
          <w:b/>
          <w:i/>
          <w:sz w:val="24"/>
          <w:szCs w:val="24"/>
          <w:lang w:val="uk-UA"/>
        </w:rPr>
        <w:t>19</w:t>
      </w:r>
      <w:r w:rsidRPr="001D011F">
        <w:rPr>
          <w:b/>
          <w:i/>
          <w:sz w:val="24"/>
          <w:szCs w:val="24"/>
          <w:lang w:val="uk-UA"/>
        </w:rPr>
        <w:t>99 р. із змінами та доповненнями, й відповідні Міжнародні стандарти фінансової звітності (МСФЗ), що прийняті Комітетом по міжнародних стандартах фінансової звітності (КМСФЗ), та Інтерпретації, що прийняті Комітетом по інтерпретаціям міжнародних стандартів фінансової звітності (КІМСФЗ), а також чинне законодавство України.</w:t>
      </w:r>
    </w:p>
    <w:p w:rsidR="00B32EC0" w:rsidRPr="001D011F" w:rsidRDefault="00B32EC0" w:rsidP="00A37620">
      <w:pPr>
        <w:ind w:left="1080"/>
        <w:jc w:val="both"/>
        <w:rPr>
          <w:b/>
          <w:i/>
          <w:sz w:val="10"/>
          <w:szCs w:val="10"/>
          <w:lang w:val="uk-UA"/>
        </w:rPr>
      </w:pPr>
    </w:p>
    <w:p w:rsidR="00B32EC0" w:rsidRPr="001D011F" w:rsidRDefault="00B32EC0" w:rsidP="001D011F">
      <w:pPr>
        <w:ind w:left="1080"/>
        <w:jc w:val="both"/>
        <w:rPr>
          <w:b/>
          <w:i/>
          <w:sz w:val="24"/>
          <w:szCs w:val="24"/>
          <w:lang w:val="uk-UA"/>
        </w:rPr>
      </w:pPr>
      <w:r w:rsidRPr="001D011F">
        <w:rPr>
          <w:b/>
          <w:i/>
          <w:sz w:val="24"/>
          <w:szCs w:val="24"/>
          <w:lang w:val="uk-UA"/>
        </w:rPr>
        <w:t xml:space="preserve">На думку аудитора, інформація у річних фінансових звітах достовірно відображає фінансовий стан ВІДКРИТОГО ПЕНСІЙНОГО ФОНДУ </w:t>
      </w:r>
      <w:r w:rsidRPr="001D011F">
        <w:rPr>
          <w:b/>
          <w:i/>
          <w:caps/>
          <w:sz w:val="24"/>
          <w:szCs w:val="24"/>
          <w:lang w:val="uk-UA"/>
        </w:rPr>
        <w:t xml:space="preserve"> </w:t>
      </w:r>
      <w:r w:rsidRPr="001D011F">
        <w:rPr>
          <w:b/>
          <w:i/>
          <w:sz w:val="24"/>
          <w:szCs w:val="24"/>
          <w:lang w:val="uk-UA"/>
        </w:rPr>
        <w:t>«ФАРМАЦЕВТИЧНИЙ» станом на 31.12.2014 року та його фінансові результати на зазначену дату у відповідності до визначеної концептуальної основи фінансової звітності та в цілому відповідає вимогам Міжнародних стандартів фінансової звітності та чинного законодавства України.</w:t>
      </w:r>
    </w:p>
    <w:p w:rsidR="00B32EC0" w:rsidRPr="001D011F" w:rsidRDefault="00B32EC0" w:rsidP="00A37620">
      <w:pPr>
        <w:tabs>
          <w:tab w:val="num" w:pos="720"/>
        </w:tabs>
        <w:ind w:left="708"/>
        <w:jc w:val="both"/>
        <w:rPr>
          <w:b/>
          <w:i/>
          <w:sz w:val="22"/>
          <w:szCs w:val="22"/>
          <w:lang w:val="uk-UA"/>
        </w:rPr>
      </w:pPr>
    </w:p>
    <w:p w:rsidR="00B32EC0" w:rsidRPr="009E2812" w:rsidRDefault="00B32EC0" w:rsidP="00A37620">
      <w:pPr>
        <w:tabs>
          <w:tab w:val="num" w:pos="720"/>
        </w:tabs>
        <w:ind w:left="708"/>
        <w:jc w:val="both"/>
        <w:rPr>
          <w:b/>
          <w:i/>
          <w:sz w:val="22"/>
          <w:szCs w:val="22"/>
          <w:lang w:val="uk-UA"/>
        </w:rPr>
      </w:pPr>
    </w:p>
    <w:p w:rsidR="00B32EC0" w:rsidRPr="009E2812" w:rsidRDefault="00B32EC0" w:rsidP="002C7EC4">
      <w:pPr>
        <w:suppressAutoHyphens/>
        <w:ind w:left="1080"/>
        <w:jc w:val="both"/>
        <w:rPr>
          <w:sz w:val="24"/>
          <w:szCs w:val="24"/>
          <w:lang w:val="uk-UA" w:eastAsia="zh-CN"/>
        </w:rPr>
      </w:pPr>
    </w:p>
    <w:p w:rsidR="00B32EC0" w:rsidRPr="009E2812" w:rsidRDefault="00B32EC0" w:rsidP="002C7EC4">
      <w:pPr>
        <w:suppressAutoHyphens/>
        <w:ind w:left="1080"/>
        <w:jc w:val="both"/>
        <w:rPr>
          <w:sz w:val="24"/>
          <w:szCs w:val="24"/>
          <w:lang w:val="uk-UA" w:eastAsia="zh-CN"/>
        </w:rPr>
      </w:pPr>
    </w:p>
    <w:p w:rsidR="00B32EC0" w:rsidRPr="009E2812" w:rsidRDefault="00B32EC0" w:rsidP="002C7EC4">
      <w:pPr>
        <w:suppressAutoHyphens/>
        <w:ind w:left="1080"/>
        <w:jc w:val="both"/>
        <w:rPr>
          <w:sz w:val="24"/>
          <w:szCs w:val="24"/>
          <w:lang w:val="uk-UA" w:eastAsia="zh-CN"/>
        </w:rPr>
      </w:pPr>
    </w:p>
    <w:p w:rsidR="00B32EC0" w:rsidRPr="009E2812" w:rsidRDefault="00B32EC0" w:rsidP="002C7EC4">
      <w:pPr>
        <w:suppressAutoHyphens/>
        <w:ind w:left="1080"/>
        <w:jc w:val="both"/>
        <w:rPr>
          <w:sz w:val="24"/>
          <w:szCs w:val="24"/>
          <w:lang w:val="uk-UA" w:eastAsia="zh-CN"/>
        </w:rPr>
      </w:pPr>
    </w:p>
    <w:p w:rsidR="00B32EC0" w:rsidRPr="009E2812" w:rsidRDefault="00B32EC0" w:rsidP="002C7EC4">
      <w:pPr>
        <w:suppressAutoHyphens/>
        <w:ind w:left="1080"/>
        <w:jc w:val="both"/>
        <w:rPr>
          <w:sz w:val="24"/>
          <w:szCs w:val="24"/>
          <w:lang w:val="uk-UA" w:eastAsia="zh-CN"/>
        </w:rPr>
      </w:pPr>
    </w:p>
    <w:p w:rsidR="00B32EC0" w:rsidRPr="009E2812" w:rsidRDefault="00B32EC0" w:rsidP="002C7EC4">
      <w:pPr>
        <w:suppressAutoHyphens/>
        <w:ind w:left="1080"/>
        <w:jc w:val="both"/>
        <w:rPr>
          <w:sz w:val="24"/>
          <w:szCs w:val="24"/>
          <w:lang w:val="uk-UA" w:eastAsia="zh-CN"/>
        </w:rPr>
      </w:pPr>
    </w:p>
    <w:p w:rsidR="00B32EC0" w:rsidRPr="009E2812" w:rsidRDefault="00B32EC0" w:rsidP="002C7EC4">
      <w:pPr>
        <w:suppressAutoHyphens/>
        <w:ind w:left="1080"/>
        <w:jc w:val="both"/>
        <w:rPr>
          <w:sz w:val="24"/>
          <w:szCs w:val="24"/>
          <w:lang w:val="uk-UA" w:eastAsia="zh-CN"/>
        </w:rPr>
      </w:pPr>
    </w:p>
    <w:p w:rsidR="00B32EC0" w:rsidRPr="009E2812" w:rsidRDefault="00B32EC0" w:rsidP="002C7EC4">
      <w:pPr>
        <w:suppressAutoHyphens/>
        <w:ind w:left="1080"/>
        <w:jc w:val="both"/>
        <w:rPr>
          <w:sz w:val="24"/>
          <w:szCs w:val="24"/>
          <w:lang w:val="uk-UA" w:eastAsia="zh-CN"/>
        </w:rPr>
      </w:pPr>
    </w:p>
    <w:p w:rsidR="00B32EC0" w:rsidRPr="009E2812" w:rsidRDefault="00B32EC0" w:rsidP="002C7EC4">
      <w:pPr>
        <w:suppressAutoHyphens/>
        <w:ind w:left="1080"/>
        <w:jc w:val="both"/>
        <w:rPr>
          <w:sz w:val="24"/>
          <w:szCs w:val="24"/>
          <w:lang w:val="uk-UA" w:eastAsia="zh-CN"/>
        </w:rPr>
      </w:pPr>
    </w:p>
    <w:p w:rsidR="00B32EC0" w:rsidRDefault="00B32EC0" w:rsidP="002C7EC4">
      <w:pPr>
        <w:suppressAutoHyphens/>
        <w:ind w:left="1080"/>
        <w:jc w:val="both"/>
        <w:rPr>
          <w:sz w:val="24"/>
          <w:szCs w:val="24"/>
          <w:lang w:val="uk-UA" w:eastAsia="zh-CN"/>
        </w:rPr>
      </w:pPr>
    </w:p>
    <w:p w:rsidR="00B32EC0" w:rsidRDefault="00B32EC0" w:rsidP="002C7EC4">
      <w:pPr>
        <w:suppressAutoHyphens/>
        <w:ind w:left="1080"/>
        <w:jc w:val="both"/>
        <w:rPr>
          <w:sz w:val="24"/>
          <w:szCs w:val="24"/>
          <w:lang w:val="uk-UA" w:eastAsia="zh-CN"/>
        </w:rPr>
      </w:pPr>
    </w:p>
    <w:p w:rsidR="00B32EC0" w:rsidRDefault="00B32EC0" w:rsidP="002C7EC4">
      <w:pPr>
        <w:suppressAutoHyphens/>
        <w:ind w:left="1080"/>
        <w:jc w:val="both"/>
        <w:rPr>
          <w:sz w:val="24"/>
          <w:szCs w:val="24"/>
          <w:lang w:val="uk-UA" w:eastAsia="zh-CN"/>
        </w:rPr>
      </w:pPr>
    </w:p>
    <w:p w:rsidR="00B32EC0" w:rsidRDefault="00B32EC0" w:rsidP="002C7EC4">
      <w:pPr>
        <w:suppressAutoHyphens/>
        <w:ind w:left="1080"/>
        <w:jc w:val="both"/>
        <w:rPr>
          <w:sz w:val="24"/>
          <w:szCs w:val="24"/>
          <w:lang w:val="uk-UA" w:eastAsia="zh-CN"/>
        </w:rPr>
      </w:pPr>
    </w:p>
    <w:p w:rsidR="00B32EC0" w:rsidRDefault="00B32EC0" w:rsidP="002C7EC4">
      <w:pPr>
        <w:suppressAutoHyphens/>
        <w:ind w:left="1080"/>
        <w:jc w:val="both"/>
        <w:rPr>
          <w:sz w:val="24"/>
          <w:szCs w:val="24"/>
          <w:lang w:val="uk-UA" w:eastAsia="zh-CN"/>
        </w:rPr>
      </w:pPr>
    </w:p>
    <w:p w:rsidR="00B32EC0" w:rsidRDefault="00B32EC0" w:rsidP="002C7EC4">
      <w:pPr>
        <w:suppressAutoHyphens/>
        <w:ind w:left="1080"/>
        <w:jc w:val="both"/>
        <w:rPr>
          <w:sz w:val="24"/>
          <w:szCs w:val="24"/>
          <w:lang w:val="uk-UA" w:eastAsia="zh-CN"/>
        </w:rPr>
      </w:pPr>
    </w:p>
    <w:p w:rsidR="00B32EC0" w:rsidRDefault="00B32EC0" w:rsidP="002C7EC4">
      <w:pPr>
        <w:suppressAutoHyphens/>
        <w:ind w:left="1080"/>
        <w:jc w:val="both"/>
        <w:rPr>
          <w:sz w:val="24"/>
          <w:szCs w:val="24"/>
          <w:lang w:val="uk-UA" w:eastAsia="zh-CN"/>
        </w:rPr>
      </w:pPr>
    </w:p>
    <w:p w:rsidR="00B32EC0" w:rsidRDefault="00B32EC0" w:rsidP="002C7EC4">
      <w:pPr>
        <w:suppressAutoHyphens/>
        <w:ind w:left="1080"/>
        <w:jc w:val="both"/>
        <w:rPr>
          <w:sz w:val="24"/>
          <w:szCs w:val="24"/>
          <w:lang w:val="uk-UA" w:eastAsia="zh-CN"/>
        </w:rPr>
      </w:pPr>
    </w:p>
    <w:p w:rsidR="00B32EC0" w:rsidRDefault="00B32EC0" w:rsidP="002C7EC4">
      <w:pPr>
        <w:suppressAutoHyphens/>
        <w:ind w:left="1080"/>
        <w:jc w:val="both"/>
        <w:rPr>
          <w:sz w:val="24"/>
          <w:szCs w:val="24"/>
          <w:lang w:val="uk-UA" w:eastAsia="zh-CN"/>
        </w:rPr>
      </w:pPr>
    </w:p>
    <w:p w:rsidR="00B32EC0" w:rsidRDefault="00B32EC0" w:rsidP="002C7EC4">
      <w:pPr>
        <w:suppressAutoHyphens/>
        <w:ind w:left="1080"/>
        <w:jc w:val="both"/>
        <w:rPr>
          <w:sz w:val="24"/>
          <w:szCs w:val="24"/>
          <w:lang w:val="uk-UA" w:eastAsia="zh-CN"/>
        </w:rPr>
      </w:pPr>
    </w:p>
    <w:p w:rsidR="00B32EC0" w:rsidRDefault="00B32EC0" w:rsidP="002C7EC4">
      <w:pPr>
        <w:suppressAutoHyphens/>
        <w:ind w:left="1080"/>
        <w:jc w:val="both"/>
        <w:rPr>
          <w:sz w:val="24"/>
          <w:szCs w:val="24"/>
          <w:lang w:val="uk-UA" w:eastAsia="zh-CN"/>
        </w:rPr>
      </w:pPr>
    </w:p>
    <w:p w:rsidR="00B32EC0" w:rsidRDefault="00B32EC0" w:rsidP="002C7EC4">
      <w:pPr>
        <w:suppressAutoHyphens/>
        <w:ind w:left="1080"/>
        <w:jc w:val="both"/>
        <w:rPr>
          <w:sz w:val="24"/>
          <w:szCs w:val="24"/>
          <w:lang w:val="uk-UA" w:eastAsia="zh-CN"/>
        </w:rPr>
      </w:pPr>
    </w:p>
    <w:p w:rsidR="00B32EC0" w:rsidRDefault="00B32EC0" w:rsidP="002C7EC4">
      <w:pPr>
        <w:suppressAutoHyphens/>
        <w:ind w:left="1080"/>
        <w:jc w:val="both"/>
        <w:rPr>
          <w:sz w:val="24"/>
          <w:szCs w:val="24"/>
          <w:lang w:val="uk-UA" w:eastAsia="zh-CN"/>
        </w:rPr>
      </w:pPr>
    </w:p>
    <w:p w:rsidR="00B32EC0" w:rsidRDefault="00B32EC0" w:rsidP="002C7EC4">
      <w:pPr>
        <w:suppressAutoHyphens/>
        <w:ind w:left="1080"/>
        <w:jc w:val="both"/>
        <w:rPr>
          <w:sz w:val="24"/>
          <w:szCs w:val="24"/>
          <w:lang w:val="uk-UA" w:eastAsia="zh-CN"/>
        </w:rPr>
      </w:pPr>
    </w:p>
    <w:p w:rsidR="00B32EC0" w:rsidRDefault="00B32EC0" w:rsidP="002C7EC4">
      <w:pPr>
        <w:suppressAutoHyphens/>
        <w:ind w:left="1080"/>
        <w:jc w:val="both"/>
        <w:rPr>
          <w:sz w:val="24"/>
          <w:szCs w:val="24"/>
          <w:lang w:val="uk-UA" w:eastAsia="zh-CN"/>
        </w:rPr>
      </w:pPr>
    </w:p>
    <w:p w:rsidR="00B32EC0" w:rsidRDefault="00B32EC0" w:rsidP="002C7EC4">
      <w:pPr>
        <w:suppressAutoHyphens/>
        <w:ind w:left="1080"/>
        <w:jc w:val="both"/>
        <w:rPr>
          <w:sz w:val="24"/>
          <w:szCs w:val="24"/>
          <w:lang w:val="uk-UA" w:eastAsia="zh-CN"/>
        </w:rPr>
      </w:pPr>
    </w:p>
    <w:p w:rsidR="00B32EC0" w:rsidRDefault="00B32EC0" w:rsidP="002C7EC4">
      <w:pPr>
        <w:suppressAutoHyphens/>
        <w:ind w:left="1080"/>
        <w:jc w:val="both"/>
        <w:rPr>
          <w:sz w:val="24"/>
          <w:szCs w:val="24"/>
          <w:lang w:val="uk-UA" w:eastAsia="zh-CN"/>
        </w:rPr>
      </w:pPr>
    </w:p>
    <w:p w:rsidR="00B32EC0" w:rsidRDefault="00B32EC0" w:rsidP="002C7EC4">
      <w:pPr>
        <w:suppressAutoHyphens/>
        <w:ind w:left="1080"/>
        <w:jc w:val="both"/>
        <w:rPr>
          <w:sz w:val="24"/>
          <w:szCs w:val="24"/>
          <w:lang w:val="uk-UA" w:eastAsia="zh-CN"/>
        </w:rPr>
      </w:pPr>
      <w:bookmarkStart w:id="6" w:name="_GoBack"/>
      <w:bookmarkEnd w:id="6"/>
    </w:p>
    <w:p w:rsidR="00B32EC0" w:rsidRDefault="00B32EC0" w:rsidP="002C7EC4">
      <w:pPr>
        <w:suppressAutoHyphens/>
        <w:ind w:left="1080"/>
        <w:jc w:val="both"/>
        <w:rPr>
          <w:sz w:val="24"/>
          <w:szCs w:val="24"/>
          <w:lang w:val="uk-UA" w:eastAsia="zh-CN"/>
        </w:rPr>
      </w:pPr>
    </w:p>
    <w:p w:rsidR="00B32EC0" w:rsidRDefault="00B32EC0" w:rsidP="002C7EC4">
      <w:pPr>
        <w:suppressAutoHyphens/>
        <w:ind w:left="1080"/>
        <w:jc w:val="both"/>
        <w:rPr>
          <w:sz w:val="24"/>
          <w:szCs w:val="24"/>
          <w:lang w:val="uk-UA" w:eastAsia="zh-CN"/>
        </w:rPr>
      </w:pPr>
    </w:p>
    <w:p w:rsidR="00B32EC0" w:rsidRPr="009E2812" w:rsidRDefault="00B32EC0" w:rsidP="002C7EC4">
      <w:pPr>
        <w:widowControl w:val="0"/>
        <w:numPr>
          <w:ilvl w:val="0"/>
          <w:numId w:val="13"/>
        </w:numPr>
        <w:jc w:val="center"/>
        <w:rPr>
          <w:b/>
          <w:snapToGrid w:val="0"/>
          <w:sz w:val="24"/>
          <w:szCs w:val="24"/>
          <w:lang w:val="uk-UA"/>
        </w:rPr>
      </w:pPr>
      <w:r w:rsidRPr="009E2812">
        <w:rPr>
          <w:b/>
          <w:snapToGrid w:val="0"/>
          <w:sz w:val="24"/>
          <w:szCs w:val="24"/>
          <w:lang w:val="uk-UA"/>
        </w:rPr>
        <w:t>Розділ «</w:t>
      </w:r>
      <w:r>
        <w:rPr>
          <w:b/>
          <w:snapToGrid w:val="0"/>
          <w:sz w:val="24"/>
          <w:szCs w:val="24"/>
          <w:lang w:val="uk-UA"/>
        </w:rPr>
        <w:t>Додаткова інформація</w:t>
      </w:r>
      <w:r w:rsidRPr="009E2812">
        <w:rPr>
          <w:b/>
          <w:snapToGrid w:val="0"/>
          <w:sz w:val="24"/>
          <w:szCs w:val="24"/>
          <w:lang w:val="uk-UA"/>
        </w:rPr>
        <w:t>»</w:t>
      </w:r>
    </w:p>
    <w:p w:rsidR="00B32EC0" w:rsidRPr="009E2812" w:rsidRDefault="00B32EC0" w:rsidP="002C7EC4">
      <w:pPr>
        <w:suppressAutoHyphens/>
        <w:ind w:left="720"/>
        <w:jc w:val="both"/>
        <w:rPr>
          <w:i/>
          <w:sz w:val="24"/>
          <w:szCs w:val="24"/>
          <w:lang w:val="uk-UA" w:eastAsia="zh-CN"/>
        </w:rPr>
      </w:pPr>
    </w:p>
    <w:p w:rsidR="00B32EC0" w:rsidRPr="009E2812" w:rsidRDefault="00B32EC0" w:rsidP="002C7EC4">
      <w:pPr>
        <w:suppressAutoHyphens/>
        <w:ind w:left="720"/>
        <w:jc w:val="both"/>
        <w:rPr>
          <w:i/>
          <w:sz w:val="22"/>
          <w:szCs w:val="22"/>
          <w:lang w:val="uk-UA" w:eastAsia="zh-CN"/>
        </w:rPr>
      </w:pPr>
      <w:r w:rsidRPr="009E2812">
        <w:rPr>
          <w:i/>
          <w:sz w:val="22"/>
          <w:szCs w:val="22"/>
          <w:lang w:val="uk-UA" w:eastAsia="zh-CN"/>
        </w:rPr>
        <w:t>Цей розділ аудиторського висновку підготовлено відповідно до Інформаційного повідомлення щодо запровадження міжнародних стандартів фінансової звітності та складання аудиторських висновків (звітів), які подаються до Національної комісії, що здійснює державне регулювання у сфері ринків фінансових послуг, при розкритті інформації фінансовими установами, затвердженого Протоколом засідання Комісії від 20 листопада 2012 року N 93</w:t>
      </w:r>
    </w:p>
    <w:p w:rsidR="00B32EC0" w:rsidRPr="00913760" w:rsidRDefault="00B32EC0" w:rsidP="002C7EC4">
      <w:pPr>
        <w:tabs>
          <w:tab w:val="num" w:pos="720"/>
          <w:tab w:val="left" w:pos="1276"/>
          <w:tab w:val="left" w:pos="1985"/>
        </w:tabs>
        <w:jc w:val="center"/>
        <w:outlineLvl w:val="0"/>
        <w:rPr>
          <w:b/>
          <w:sz w:val="24"/>
          <w:szCs w:val="24"/>
          <w:lang w:val="uk-UA"/>
        </w:rPr>
      </w:pPr>
    </w:p>
    <w:p w:rsidR="00B32EC0" w:rsidRPr="00913760" w:rsidRDefault="00B32EC0" w:rsidP="002C7EC4">
      <w:pPr>
        <w:tabs>
          <w:tab w:val="num" w:pos="720"/>
          <w:tab w:val="left" w:pos="1276"/>
          <w:tab w:val="left" w:pos="1985"/>
        </w:tabs>
        <w:jc w:val="center"/>
        <w:outlineLvl w:val="0"/>
        <w:rPr>
          <w:b/>
          <w:sz w:val="24"/>
          <w:szCs w:val="24"/>
          <w:lang w:val="uk-UA"/>
        </w:rPr>
      </w:pPr>
    </w:p>
    <w:p w:rsidR="00B32EC0" w:rsidRPr="009E2812" w:rsidRDefault="00B32EC0" w:rsidP="002C7EC4">
      <w:pPr>
        <w:numPr>
          <w:ilvl w:val="1"/>
          <w:numId w:val="13"/>
        </w:numPr>
        <w:suppressAutoHyphens/>
        <w:ind w:hanging="938"/>
        <w:jc w:val="both"/>
        <w:rPr>
          <w:b/>
          <w:i/>
          <w:caps/>
          <w:sz w:val="24"/>
          <w:szCs w:val="24"/>
          <w:lang w:val="uk-UA"/>
        </w:rPr>
      </w:pPr>
      <w:r w:rsidRPr="009E2812">
        <w:rPr>
          <w:b/>
          <w:i/>
          <w:caps/>
          <w:sz w:val="24"/>
          <w:szCs w:val="24"/>
          <w:lang w:val="uk-UA"/>
        </w:rPr>
        <w:t>Характеристика статей фінансової звітності.</w:t>
      </w:r>
    </w:p>
    <w:p w:rsidR="00B32EC0" w:rsidRPr="009E2812" w:rsidRDefault="00B32EC0" w:rsidP="002C7EC4">
      <w:pPr>
        <w:suppressAutoHyphens/>
        <w:jc w:val="both"/>
        <w:rPr>
          <w:sz w:val="24"/>
          <w:szCs w:val="24"/>
          <w:lang w:val="uk-UA" w:eastAsia="zh-CN"/>
        </w:rPr>
      </w:pPr>
    </w:p>
    <w:p w:rsidR="00B32EC0" w:rsidRPr="009E2812" w:rsidRDefault="00B32EC0" w:rsidP="002C7EC4">
      <w:pPr>
        <w:suppressAutoHyphens/>
        <w:ind w:left="720"/>
        <w:jc w:val="both"/>
        <w:rPr>
          <w:sz w:val="24"/>
          <w:szCs w:val="24"/>
          <w:lang w:val="uk-UA" w:eastAsia="zh-CN"/>
        </w:rPr>
      </w:pPr>
      <w:r w:rsidRPr="009E2812">
        <w:rPr>
          <w:sz w:val="24"/>
          <w:szCs w:val="24"/>
          <w:lang w:val="uk-UA" w:eastAsia="zh-CN"/>
        </w:rPr>
        <w:t>Річна інвентаризація активів та зобов’язань проведена станом на 01.01.2015 р. на підставі наказу № 381 від 30.12.2014 р. Дані інвентаризаційних відомостей звірялись з даними бухгалтерського обліку. Нестач або лишків матеріальних цінностей не виявлено.</w:t>
      </w:r>
    </w:p>
    <w:p w:rsidR="00B32EC0" w:rsidRPr="00913760" w:rsidRDefault="00B32EC0" w:rsidP="002C7EC4">
      <w:pPr>
        <w:pStyle w:val="Heading3"/>
        <w:ind w:left="1134"/>
        <w:rPr>
          <w:rFonts w:ascii="Times New Roman" w:hAnsi="Times New Roman"/>
          <w:color w:val="auto"/>
          <w:sz w:val="22"/>
          <w:szCs w:val="22"/>
          <w:lang w:val="uk-UA"/>
        </w:rPr>
      </w:pPr>
    </w:p>
    <w:p w:rsidR="00B32EC0" w:rsidRPr="009E2812" w:rsidRDefault="00B32EC0" w:rsidP="002C7EC4">
      <w:pPr>
        <w:rPr>
          <w:lang w:val="uk-UA"/>
        </w:rPr>
      </w:pPr>
    </w:p>
    <w:p w:rsidR="00B32EC0" w:rsidRPr="009E2812" w:rsidRDefault="00B32EC0" w:rsidP="00A51770">
      <w:pPr>
        <w:numPr>
          <w:ilvl w:val="2"/>
          <w:numId w:val="13"/>
        </w:numPr>
        <w:suppressAutoHyphens/>
        <w:ind w:left="1418" w:hanging="709"/>
        <w:rPr>
          <w:b/>
          <w:caps/>
          <w:sz w:val="24"/>
          <w:szCs w:val="24"/>
          <w:lang w:val="uk-UA" w:eastAsia="zh-CN"/>
        </w:rPr>
      </w:pPr>
      <w:r w:rsidRPr="009E2812">
        <w:rPr>
          <w:b/>
          <w:caps/>
          <w:sz w:val="24"/>
          <w:szCs w:val="24"/>
          <w:lang w:val="uk-UA" w:eastAsia="zh-CN"/>
        </w:rPr>
        <w:t>активи</w:t>
      </w:r>
    </w:p>
    <w:p w:rsidR="00B32EC0" w:rsidRPr="009E2812" w:rsidRDefault="00B32EC0" w:rsidP="00615821">
      <w:pPr>
        <w:ind w:left="720"/>
        <w:rPr>
          <w:b/>
          <w:sz w:val="24"/>
          <w:szCs w:val="24"/>
          <w:lang w:val="uk-UA" w:eastAsia="uk-UA"/>
        </w:rPr>
      </w:pPr>
    </w:p>
    <w:p w:rsidR="00B32EC0" w:rsidRPr="009E2812" w:rsidRDefault="00B32EC0" w:rsidP="00A51770">
      <w:pPr>
        <w:ind w:left="720"/>
        <w:jc w:val="center"/>
        <w:rPr>
          <w:b/>
          <w:sz w:val="24"/>
          <w:szCs w:val="24"/>
          <w:lang w:val="uk-UA" w:eastAsia="uk-UA"/>
        </w:rPr>
      </w:pPr>
      <w:r w:rsidRPr="009E2812">
        <w:rPr>
          <w:b/>
          <w:sz w:val="24"/>
          <w:szCs w:val="24"/>
          <w:lang w:val="uk-UA" w:eastAsia="uk-UA"/>
        </w:rPr>
        <w:t>Необоротні активи</w:t>
      </w:r>
    </w:p>
    <w:p w:rsidR="00B32EC0" w:rsidRPr="009E2812" w:rsidRDefault="00B32EC0" w:rsidP="00615821">
      <w:pPr>
        <w:suppressAutoHyphens/>
        <w:ind w:left="720"/>
        <w:jc w:val="both"/>
        <w:rPr>
          <w:sz w:val="24"/>
          <w:szCs w:val="24"/>
          <w:lang w:val="uk-UA" w:eastAsia="zh-CN"/>
        </w:rPr>
      </w:pPr>
    </w:p>
    <w:p w:rsidR="00B32EC0" w:rsidRPr="009E2812" w:rsidRDefault="00B32EC0" w:rsidP="00615821">
      <w:pPr>
        <w:suppressAutoHyphens/>
        <w:ind w:left="720"/>
        <w:jc w:val="both"/>
        <w:rPr>
          <w:sz w:val="10"/>
          <w:szCs w:val="10"/>
          <w:lang w:val="uk-UA" w:eastAsia="zh-CN"/>
        </w:rPr>
      </w:pPr>
      <w:r w:rsidRPr="009E2812">
        <w:rPr>
          <w:sz w:val="24"/>
          <w:szCs w:val="24"/>
          <w:lang w:val="uk-UA" w:eastAsia="zh-CN"/>
        </w:rPr>
        <w:t>Необоротні активи Фонду включають:</w:t>
      </w:r>
    </w:p>
    <w:p w:rsidR="00B32EC0" w:rsidRPr="009E2812" w:rsidRDefault="00B32EC0" w:rsidP="00615821">
      <w:pPr>
        <w:suppressAutoHyphens/>
        <w:ind w:left="720"/>
        <w:jc w:val="both"/>
        <w:rPr>
          <w:sz w:val="10"/>
          <w:szCs w:val="10"/>
          <w:lang w:val="uk-UA" w:eastAsia="zh-CN"/>
        </w:rPr>
      </w:pPr>
    </w:p>
    <w:p w:rsidR="00B32EC0" w:rsidRPr="009E2812" w:rsidRDefault="00B32EC0" w:rsidP="00615821">
      <w:pPr>
        <w:numPr>
          <w:ilvl w:val="0"/>
          <w:numId w:val="19"/>
        </w:numPr>
        <w:suppressAutoHyphens/>
        <w:jc w:val="both"/>
        <w:rPr>
          <w:sz w:val="24"/>
          <w:szCs w:val="24"/>
          <w:lang w:val="uk-UA" w:eastAsia="zh-CN"/>
        </w:rPr>
      </w:pPr>
      <w:r w:rsidRPr="009E2812">
        <w:rPr>
          <w:sz w:val="24"/>
          <w:szCs w:val="24"/>
          <w:lang w:val="uk-UA" w:eastAsia="zh-CN"/>
        </w:rPr>
        <w:t xml:space="preserve">інвестиційну нерухомість </w:t>
      </w:r>
    </w:p>
    <w:p w:rsidR="00B32EC0" w:rsidRPr="009E2812" w:rsidRDefault="00B32EC0" w:rsidP="00615821">
      <w:pPr>
        <w:numPr>
          <w:ilvl w:val="0"/>
          <w:numId w:val="19"/>
        </w:numPr>
        <w:suppressAutoHyphens/>
        <w:jc w:val="both"/>
        <w:rPr>
          <w:sz w:val="24"/>
          <w:szCs w:val="24"/>
          <w:lang w:val="uk-UA" w:eastAsia="zh-CN"/>
        </w:rPr>
      </w:pPr>
      <w:r w:rsidRPr="009E2812">
        <w:rPr>
          <w:sz w:val="24"/>
          <w:szCs w:val="24"/>
          <w:lang w:val="uk-UA" w:eastAsia="zh-CN"/>
        </w:rPr>
        <w:t>інші фінансові інвестиції</w:t>
      </w:r>
    </w:p>
    <w:p w:rsidR="00B32EC0" w:rsidRPr="009E2812" w:rsidRDefault="00B32EC0" w:rsidP="00615821">
      <w:pPr>
        <w:ind w:firstLine="708"/>
        <w:rPr>
          <w:b/>
          <w:sz w:val="24"/>
          <w:szCs w:val="24"/>
          <w:lang w:val="uk-UA" w:eastAsia="uk-UA"/>
        </w:rPr>
      </w:pPr>
    </w:p>
    <w:p w:rsidR="00B32EC0" w:rsidRPr="009E2812" w:rsidRDefault="00B32EC0" w:rsidP="00615821">
      <w:pPr>
        <w:ind w:firstLine="708"/>
        <w:rPr>
          <w:b/>
          <w:sz w:val="24"/>
          <w:szCs w:val="24"/>
          <w:lang w:val="uk-UA" w:eastAsia="uk-UA"/>
        </w:rPr>
      </w:pPr>
    </w:p>
    <w:p w:rsidR="00B32EC0" w:rsidRPr="009E2812" w:rsidRDefault="00B32EC0" w:rsidP="00E75CA9">
      <w:pPr>
        <w:suppressAutoHyphens/>
        <w:ind w:left="720"/>
        <w:jc w:val="center"/>
        <w:rPr>
          <w:sz w:val="24"/>
          <w:szCs w:val="24"/>
          <w:lang w:val="uk-UA" w:eastAsia="zh-CN"/>
        </w:rPr>
      </w:pPr>
      <w:r w:rsidRPr="00913760">
        <w:rPr>
          <w:i/>
          <w:sz w:val="24"/>
          <w:szCs w:val="24"/>
          <w:lang w:val="uk-UA"/>
        </w:rPr>
        <w:t>Інвестиційна нерухомість</w:t>
      </w:r>
    </w:p>
    <w:p w:rsidR="00B32EC0" w:rsidRPr="009E2812" w:rsidRDefault="00B32EC0" w:rsidP="00E75CA9">
      <w:pPr>
        <w:suppressAutoHyphens/>
        <w:ind w:left="720"/>
        <w:jc w:val="both"/>
        <w:rPr>
          <w:sz w:val="24"/>
          <w:szCs w:val="24"/>
          <w:lang w:val="uk-UA" w:eastAsia="zh-CN"/>
        </w:rPr>
      </w:pPr>
    </w:p>
    <w:p w:rsidR="00B32EC0" w:rsidRPr="009E2812" w:rsidRDefault="00B32EC0" w:rsidP="00E75CA9">
      <w:pPr>
        <w:suppressAutoHyphens/>
        <w:ind w:left="720"/>
        <w:jc w:val="both"/>
        <w:rPr>
          <w:sz w:val="24"/>
          <w:szCs w:val="24"/>
          <w:lang w:val="uk-UA" w:eastAsia="zh-CN"/>
        </w:rPr>
      </w:pPr>
      <w:r w:rsidRPr="00E75CA9">
        <w:rPr>
          <w:sz w:val="24"/>
          <w:szCs w:val="24"/>
          <w:lang w:val="uk-UA" w:eastAsia="zh-CN"/>
        </w:rPr>
        <w:t xml:space="preserve">До складу </w:t>
      </w:r>
      <w:r w:rsidRPr="009E2812">
        <w:rPr>
          <w:sz w:val="24"/>
          <w:szCs w:val="24"/>
          <w:lang w:val="uk-UA" w:eastAsia="zh-CN"/>
        </w:rPr>
        <w:t>інвестиційної нерухомості</w:t>
      </w:r>
      <w:r w:rsidRPr="00E75CA9">
        <w:rPr>
          <w:sz w:val="24"/>
          <w:szCs w:val="24"/>
          <w:lang w:val="uk-UA" w:eastAsia="zh-CN"/>
        </w:rPr>
        <w:t xml:space="preserve"> </w:t>
      </w:r>
      <w:r w:rsidRPr="009E2812">
        <w:rPr>
          <w:sz w:val="24"/>
          <w:szCs w:val="24"/>
          <w:lang w:val="uk-UA" w:eastAsia="zh-CN"/>
        </w:rPr>
        <w:t>Фонду</w:t>
      </w:r>
      <w:r w:rsidRPr="00E75CA9">
        <w:rPr>
          <w:sz w:val="24"/>
          <w:szCs w:val="24"/>
          <w:lang w:val="uk-UA" w:eastAsia="zh-CN"/>
        </w:rPr>
        <w:t xml:space="preserve"> входять </w:t>
      </w:r>
      <w:r w:rsidRPr="009E2812">
        <w:rPr>
          <w:sz w:val="24"/>
          <w:szCs w:val="24"/>
          <w:lang w:val="uk-UA" w:eastAsia="zh-CN"/>
        </w:rPr>
        <w:t>власне нежитлове приміщення  № 19, м. Ірпінь, вул. Шевченка, 3, яке утримується для надання в операційну оренду з метою отримання орендних платежів.</w:t>
      </w:r>
    </w:p>
    <w:p w:rsidR="00B32EC0" w:rsidRPr="009E2812" w:rsidRDefault="00B32EC0" w:rsidP="00E75CA9">
      <w:pPr>
        <w:suppressAutoHyphens/>
        <w:ind w:left="720"/>
        <w:jc w:val="both"/>
        <w:rPr>
          <w:sz w:val="24"/>
          <w:szCs w:val="24"/>
          <w:lang w:val="uk-UA" w:eastAsia="zh-CN"/>
        </w:rPr>
      </w:pPr>
    </w:p>
    <w:p w:rsidR="00B32EC0" w:rsidRPr="009E2812" w:rsidRDefault="00B32EC0" w:rsidP="00E75CA9">
      <w:pPr>
        <w:suppressAutoHyphens/>
        <w:ind w:left="720"/>
        <w:jc w:val="both"/>
        <w:rPr>
          <w:sz w:val="24"/>
          <w:szCs w:val="24"/>
          <w:lang w:val="uk-UA" w:eastAsia="zh-CN"/>
        </w:rPr>
      </w:pPr>
      <w:r w:rsidRPr="009E2812">
        <w:rPr>
          <w:sz w:val="24"/>
          <w:szCs w:val="24"/>
          <w:lang w:val="uk-UA" w:eastAsia="zh-CN"/>
        </w:rPr>
        <w:t>Інвестиційна нерухомість обліковується за справедливою вартістю на дату оцінки у відповід</w:t>
      </w:r>
      <w:r>
        <w:rPr>
          <w:sz w:val="24"/>
          <w:szCs w:val="24"/>
          <w:lang w:val="uk-UA" w:eastAsia="zh-CN"/>
        </w:rPr>
        <w:t>ності до МСФЗ</w:t>
      </w:r>
      <w:r w:rsidRPr="009E2812">
        <w:rPr>
          <w:sz w:val="24"/>
          <w:szCs w:val="24"/>
          <w:lang w:val="uk-UA" w:eastAsia="zh-CN"/>
        </w:rPr>
        <w:t xml:space="preserve"> 40 «Інвестиційна нерухомість».</w:t>
      </w:r>
    </w:p>
    <w:p w:rsidR="00B32EC0" w:rsidRPr="009E2812" w:rsidRDefault="00B32EC0" w:rsidP="00E75CA9">
      <w:pPr>
        <w:suppressAutoHyphens/>
        <w:ind w:left="720"/>
        <w:jc w:val="both"/>
        <w:rPr>
          <w:sz w:val="24"/>
          <w:szCs w:val="24"/>
          <w:lang w:val="uk-UA" w:eastAsia="zh-CN"/>
        </w:rPr>
      </w:pPr>
    </w:p>
    <w:p w:rsidR="00B32EC0" w:rsidRPr="00E75CA9" w:rsidRDefault="00B32EC0" w:rsidP="00E75CA9">
      <w:pPr>
        <w:suppressAutoHyphens/>
        <w:ind w:left="720"/>
        <w:jc w:val="both"/>
        <w:rPr>
          <w:sz w:val="24"/>
          <w:szCs w:val="24"/>
          <w:lang w:val="uk-UA" w:eastAsia="zh-CN"/>
        </w:rPr>
      </w:pPr>
      <w:r w:rsidRPr="009E2812">
        <w:rPr>
          <w:sz w:val="24"/>
          <w:szCs w:val="24"/>
          <w:lang w:val="uk-UA"/>
        </w:rPr>
        <w:t>Загальна вартість інвестиційної нерухомості, що обліковується Фондом станом на 31.12.2014 р., складала 366 тис. грн. (код рядку 1015).</w:t>
      </w:r>
    </w:p>
    <w:p w:rsidR="00B32EC0" w:rsidRPr="00913760" w:rsidRDefault="00B32EC0" w:rsidP="00615821">
      <w:pPr>
        <w:jc w:val="center"/>
        <w:rPr>
          <w:i/>
          <w:sz w:val="24"/>
          <w:szCs w:val="24"/>
          <w:lang w:val="uk-UA"/>
        </w:rPr>
      </w:pPr>
    </w:p>
    <w:p w:rsidR="00B32EC0" w:rsidRPr="00913760" w:rsidRDefault="00B32EC0" w:rsidP="00615821">
      <w:pPr>
        <w:jc w:val="center"/>
        <w:rPr>
          <w:i/>
          <w:sz w:val="24"/>
          <w:szCs w:val="24"/>
          <w:lang w:val="uk-UA"/>
        </w:rPr>
      </w:pPr>
    </w:p>
    <w:p w:rsidR="00B32EC0" w:rsidRPr="00913760" w:rsidRDefault="00B32EC0" w:rsidP="00615821">
      <w:pPr>
        <w:jc w:val="center"/>
        <w:rPr>
          <w:i/>
          <w:sz w:val="24"/>
          <w:szCs w:val="24"/>
          <w:lang w:val="uk-UA"/>
        </w:rPr>
      </w:pPr>
      <w:r w:rsidRPr="00913760">
        <w:rPr>
          <w:i/>
          <w:sz w:val="24"/>
          <w:szCs w:val="24"/>
          <w:lang w:val="uk-UA"/>
        </w:rPr>
        <w:t>Фінансові інвестиції</w:t>
      </w:r>
    </w:p>
    <w:p w:rsidR="00B32EC0" w:rsidRPr="009E2812" w:rsidRDefault="00B32EC0" w:rsidP="00615821">
      <w:pPr>
        <w:suppressAutoHyphens/>
        <w:ind w:left="720"/>
        <w:jc w:val="both"/>
        <w:rPr>
          <w:sz w:val="24"/>
          <w:szCs w:val="24"/>
          <w:lang w:val="uk-UA"/>
        </w:rPr>
      </w:pPr>
    </w:p>
    <w:p w:rsidR="00B32EC0" w:rsidRPr="009E2812" w:rsidRDefault="00B32EC0" w:rsidP="00615821">
      <w:pPr>
        <w:suppressAutoHyphens/>
        <w:ind w:left="720"/>
        <w:jc w:val="both"/>
        <w:rPr>
          <w:sz w:val="24"/>
          <w:szCs w:val="24"/>
          <w:lang w:val="uk-UA"/>
        </w:rPr>
      </w:pPr>
      <w:r w:rsidRPr="009E2812">
        <w:rPr>
          <w:sz w:val="24"/>
          <w:szCs w:val="24"/>
          <w:lang w:val="uk-UA"/>
        </w:rPr>
        <w:t>Загальна сума поточних фінансових інвестицій, що обліковується Фондом станом на 31.12.2014 р., складала 26 376 тис. грн.(код рядку 1035), з них:</w:t>
      </w:r>
    </w:p>
    <w:p w:rsidR="00B32EC0" w:rsidRPr="009E2812" w:rsidRDefault="00B32EC0" w:rsidP="00615821">
      <w:pPr>
        <w:numPr>
          <w:ilvl w:val="0"/>
          <w:numId w:val="2"/>
        </w:numPr>
        <w:jc w:val="both"/>
        <w:rPr>
          <w:sz w:val="24"/>
          <w:szCs w:val="24"/>
          <w:lang w:val="uk-UA"/>
        </w:rPr>
      </w:pPr>
      <w:r w:rsidRPr="009E2812">
        <w:rPr>
          <w:sz w:val="24"/>
          <w:szCs w:val="24"/>
          <w:lang w:val="uk-UA"/>
        </w:rPr>
        <w:t xml:space="preserve">цінні папери, погашення та отримання доходу за якими гарантовано </w:t>
      </w:r>
      <w:r w:rsidRPr="009E2812">
        <w:rPr>
          <w:sz w:val="24"/>
          <w:szCs w:val="24"/>
          <w:lang w:val="uk-UA"/>
        </w:rPr>
        <w:br/>
        <w:t>КМУ – 22 050 тис. грн.;</w:t>
      </w:r>
    </w:p>
    <w:p w:rsidR="00B32EC0" w:rsidRPr="009E2812" w:rsidRDefault="00B32EC0" w:rsidP="00615821">
      <w:pPr>
        <w:numPr>
          <w:ilvl w:val="0"/>
          <w:numId w:val="2"/>
        </w:numPr>
        <w:jc w:val="both"/>
        <w:rPr>
          <w:sz w:val="24"/>
          <w:szCs w:val="24"/>
          <w:lang w:val="uk-UA"/>
        </w:rPr>
      </w:pPr>
      <w:r w:rsidRPr="009E2812">
        <w:rPr>
          <w:sz w:val="24"/>
          <w:szCs w:val="24"/>
          <w:lang w:val="uk-UA"/>
        </w:rPr>
        <w:t>облігації підприємств, емітентами яких є резиденти України – 2 946 тис. грн.</w:t>
      </w:r>
    </w:p>
    <w:p w:rsidR="00B32EC0" w:rsidRPr="009E2812" w:rsidRDefault="00B32EC0" w:rsidP="00615821">
      <w:pPr>
        <w:numPr>
          <w:ilvl w:val="0"/>
          <w:numId w:val="2"/>
        </w:numPr>
        <w:jc w:val="both"/>
        <w:rPr>
          <w:sz w:val="24"/>
          <w:szCs w:val="24"/>
          <w:lang w:val="uk-UA"/>
        </w:rPr>
      </w:pPr>
      <w:r w:rsidRPr="009E2812">
        <w:rPr>
          <w:sz w:val="24"/>
          <w:szCs w:val="24"/>
          <w:lang w:val="uk-UA"/>
        </w:rPr>
        <w:t>акції українських емітентів – 1 287 тис. грн.;</w:t>
      </w:r>
    </w:p>
    <w:p w:rsidR="00B32EC0" w:rsidRPr="009E2812" w:rsidRDefault="00B32EC0" w:rsidP="00615821">
      <w:pPr>
        <w:numPr>
          <w:ilvl w:val="0"/>
          <w:numId w:val="2"/>
        </w:numPr>
        <w:jc w:val="both"/>
        <w:rPr>
          <w:sz w:val="24"/>
          <w:szCs w:val="24"/>
          <w:lang w:val="uk-UA"/>
        </w:rPr>
      </w:pPr>
      <w:r w:rsidRPr="009E2812">
        <w:rPr>
          <w:sz w:val="24"/>
          <w:szCs w:val="24"/>
          <w:lang w:val="uk-UA"/>
        </w:rPr>
        <w:t>частки і паї в статутні капітали інших підприємств – 93 тис. грн.</w:t>
      </w:r>
    </w:p>
    <w:p w:rsidR="00B32EC0" w:rsidRPr="009E2812" w:rsidRDefault="00B32EC0" w:rsidP="00615821">
      <w:pPr>
        <w:suppressAutoHyphens/>
        <w:ind w:left="720"/>
        <w:jc w:val="both"/>
        <w:rPr>
          <w:sz w:val="24"/>
          <w:szCs w:val="24"/>
          <w:lang w:val="uk-UA"/>
        </w:rPr>
      </w:pPr>
    </w:p>
    <w:p w:rsidR="00B32EC0" w:rsidRPr="009E2812" w:rsidRDefault="00B32EC0" w:rsidP="00615821">
      <w:pPr>
        <w:suppressAutoHyphens/>
        <w:ind w:left="720"/>
        <w:jc w:val="both"/>
        <w:rPr>
          <w:sz w:val="24"/>
          <w:szCs w:val="24"/>
          <w:lang w:val="uk-UA"/>
        </w:rPr>
      </w:pPr>
    </w:p>
    <w:p w:rsidR="00B32EC0" w:rsidRPr="009E2812" w:rsidRDefault="00B32EC0" w:rsidP="00615821">
      <w:pPr>
        <w:suppressAutoHyphens/>
        <w:ind w:left="720"/>
        <w:jc w:val="both"/>
        <w:rPr>
          <w:sz w:val="24"/>
          <w:szCs w:val="24"/>
          <w:lang w:val="uk-UA"/>
        </w:rPr>
      </w:pPr>
      <w:r w:rsidRPr="009E2812">
        <w:rPr>
          <w:sz w:val="24"/>
          <w:szCs w:val="24"/>
          <w:lang w:val="uk-UA"/>
        </w:rPr>
        <w:t xml:space="preserve">Фінансові інвестиції відображені в Балансі (Звіті про фінансовий стан) за справедливою вартістю, що відповідає МСФЗ 32 «Фінансові інструменти: подання» та 39 «Фінансові інструменти: визнання та оцінка». </w:t>
      </w:r>
    </w:p>
    <w:p w:rsidR="00B32EC0" w:rsidRPr="009E2812" w:rsidRDefault="00B32EC0" w:rsidP="00615821">
      <w:pPr>
        <w:suppressAutoHyphens/>
        <w:ind w:left="720"/>
        <w:jc w:val="both"/>
        <w:rPr>
          <w:sz w:val="24"/>
          <w:szCs w:val="24"/>
          <w:lang w:val="uk-UA"/>
        </w:rPr>
      </w:pPr>
    </w:p>
    <w:p w:rsidR="00B32EC0" w:rsidRPr="009E2812" w:rsidRDefault="00B32EC0" w:rsidP="00615821">
      <w:pPr>
        <w:suppressAutoHyphens/>
        <w:ind w:left="720"/>
        <w:jc w:val="both"/>
        <w:rPr>
          <w:sz w:val="24"/>
          <w:szCs w:val="24"/>
          <w:lang w:val="uk-UA"/>
        </w:rPr>
      </w:pPr>
      <w:r w:rsidRPr="009E2812">
        <w:rPr>
          <w:sz w:val="24"/>
          <w:szCs w:val="24"/>
          <w:lang w:val="uk-UA"/>
        </w:rPr>
        <w:t>Переоцінка фінансових інвестицій за справедливою вартістю здійснюється на підставі Рішення Державної комісії з цінних паперів та фондового ринку від 11.08.2004 № 339 «Про затвердження Положення про порядок визначення чистої вартості активів пенсійного фонду» (у редакції рішення Національної комісії з цінних паперів та фондового ринку від 28.02.2012 р. № 333 зі змінами та доповненнями).</w:t>
      </w:r>
    </w:p>
    <w:p w:rsidR="00B32EC0" w:rsidRPr="009E2812" w:rsidRDefault="00B32EC0" w:rsidP="00615821">
      <w:pPr>
        <w:suppressAutoHyphens/>
        <w:ind w:left="720"/>
        <w:jc w:val="both"/>
        <w:rPr>
          <w:sz w:val="24"/>
          <w:szCs w:val="24"/>
          <w:lang w:val="uk-UA"/>
        </w:rPr>
      </w:pPr>
    </w:p>
    <w:p w:rsidR="00B32EC0" w:rsidRPr="009E2812" w:rsidRDefault="00B32EC0" w:rsidP="00615821">
      <w:pPr>
        <w:ind w:firstLine="708"/>
        <w:rPr>
          <w:b/>
          <w:sz w:val="24"/>
          <w:szCs w:val="24"/>
          <w:lang w:val="uk-UA" w:eastAsia="uk-UA"/>
        </w:rPr>
      </w:pPr>
    </w:p>
    <w:p w:rsidR="00B32EC0" w:rsidRPr="009E2812" w:rsidRDefault="00B32EC0" w:rsidP="00615821">
      <w:pPr>
        <w:ind w:firstLine="708"/>
        <w:rPr>
          <w:b/>
          <w:sz w:val="24"/>
          <w:szCs w:val="24"/>
          <w:lang w:val="uk-UA" w:eastAsia="uk-UA"/>
        </w:rPr>
      </w:pPr>
      <w:r w:rsidRPr="009E2812">
        <w:rPr>
          <w:b/>
          <w:sz w:val="24"/>
          <w:szCs w:val="24"/>
          <w:lang w:val="uk-UA" w:eastAsia="uk-UA"/>
        </w:rPr>
        <w:t>Оборотні активи</w:t>
      </w:r>
    </w:p>
    <w:p w:rsidR="00B32EC0" w:rsidRPr="009E2812" w:rsidRDefault="00B32EC0" w:rsidP="00615821">
      <w:pPr>
        <w:ind w:left="720"/>
        <w:jc w:val="both"/>
        <w:rPr>
          <w:sz w:val="24"/>
          <w:szCs w:val="24"/>
          <w:lang w:val="uk-UA"/>
        </w:rPr>
      </w:pPr>
    </w:p>
    <w:p w:rsidR="00B32EC0" w:rsidRPr="009E2812" w:rsidRDefault="00B32EC0" w:rsidP="00615821">
      <w:pPr>
        <w:ind w:left="720"/>
        <w:jc w:val="both"/>
        <w:rPr>
          <w:sz w:val="24"/>
          <w:szCs w:val="24"/>
          <w:lang w:val="uk-UA"/>
        </w:rPr>
      </w:pPr>
      <w:r w:rsidRPr="009E2812">
        <w:rPr>
          <w:sz w:val="24"/>
          <w:szCs w:val="24"/>
          <w:lang w:val="uk-UA"/>
        </w:rPr>
        <w:t xml:space="preserve">Оборотні активи представлені: </w:t>
      </w:r>
    </w:p>
    <w:p w:rsidR="00B32EC0" w:rsidRPr="009E2812" w:rsidRDefault="00B32EC0" w:rsidP="00615821">
      <w:pPr>
        <w:numPr>
          <w:ilvl w:val="0"/>
          <w:numId w:val="19"/>
        </w:numPr>
        <w:suppressAutoHyphens/>
        <w:jc w:val="both"/>
        <w:rPr>
          <w:sz w:val="24"/>
          <w:szCs w:val="24"/>
          <w:lang w:val="uk-UA"/>
        </w:rPr>
      </w:pPr>
      <w:r w:rsidRPr="009E2812">
        <w:rPr>
          <w:sz w:val="24"/>
          <w:szCs w:val="24"/>
          <w:lang w:val="uk-UA"/>
        </w:rPr>
        <w:t>дебіторською заборгованістю</w:t>
      </w:r>
    </w:p>
    <w:p w:rsidR="00B32EC0" w:rsidRPr="00913760" w:rsidRDefault="00B32EC0" w:rsidP="00615821">
      <w:pPr>
        <w:numPr>
          <w:ilvl w:val="0"/>
          <w:numId w:val="19"/>
        </w:numPr>
        <w:suppressAutoHyphens/>
        <w:jc w:val="both"/>
        <w:rPr>
          <w:b/>
          <w:i/>
          <w:lang w:val="uk-UA"/>
        </w:rPr>
      </w:pPr>
      <w:r w:rsidRPr="009E2812">
        <w:rPr>
          <w:sz w:val="24"/>
          <w:szCs w:val="24"/>
          <w:lang w:val="uk-UA"/>
        </w:rPr>
        <w:t>грошовими коштами та їх еквівалентами</w:t>
      </w:r>
    </w:p>
    <w:p w:rsidR="00B32EC0" w:rsidRPr="00913760" w:rsidRDefault="00B32EC0" w:rsidP="002C7EC4">
      <w:pPr>
        <w:jc w:val="both"/>
        <w:rPr>
          <w:b/>
          <w:i/>
          <w:sz w:val="24"/>
          <w:szCs w:val="24"/>
          <w:lang w:val="uk-UA"/>
        </w:rPr>
      </w:pPr>
    </w:p>
    <w:p w:rsidR="00B32EC0" w:rsidRPr="00913760" w:rsidRDefault="00B32EC0" w:rsidP="005D5A12">
      <w:pPr>
        <w:pStyle w:val="Heading4"/>
        <w:jc w:val="center"/>
        <w:rPr>
          <w:rFonts w:ascii="Times New Roman" w:hAnsi="Times New Roman"/>
          <w:i/>
          <w:szCs w:val="24"/>
          <w:lang w:val="uk-UA"/>
        </w:rPr>
      </w:pPr>
      <w:r w:rsidRPr="00913760">
        <w:rPr>
          <w:rFonts w:ascii="Times New Roman" w:hAnsi="Times New Roman"/>
          <w:i/>
          <w:szCs w:val="24"/>
          <w:lang w:val="uk-UA"/>
        </w:rPr>
        <w:t>Дебіторська заборгованість</w:t>
      </w:r>
    </w:p>
    <w:p w:rsidR="00B32EC0" w:rsidRPr="005D5A12" w:rsidRDefault="00B32EC0" w:rsidP="005D5A12">
      <w:pPr>
        <w:suppressAutoHyphens/>
        <w:ind w:firstLine="360"/>
        <w:jc w:val="both"/>
        <w:rPr>
          <w:b/>
          <w:sz w:val="24"/>
          <w:szCs w:val="24"/>
          <w:lang w:val="uk-UA" w:eastAsia="uk-UA"/>
        </w:rPr>
      </w:pPr>
    </w:p>
    <w:p w:rsidR="00B32EC0" w:rsidRPr="005D5A12" w:rsidRDefault="00B32EC0" w:rsidP="005D5A12">
      <w:pPr>
        <w:suppressAutoHyphens/>
        <w:ind w:left="720"/>
        <w:jc w:val="both"/>
        <w:rPr>
          <w:sz w:val="24"/>
          <w:szCs w:val="24"/>
          <w:shd w:val="clear" w:color="auto" w:fill="FFFF00"/>
          <w:lang w:val="uk-UA" w:eastAsia="zh-CN"/>
        </w:rPr>
      </w:pPr>
      <w:r w:rsidRPr="005D5A12">
        <w:rPr>
          <w:sz w:val="24"/>
          <w:szCs w:val="24"/>
          <w:lang w:val="uk-UA" w:eastAsia="zh-CN"/>
        </w:rPr>
        <w:t xml:space="preserve">Дебіторська заборгованість відображається </w:t>
      </w:r>
      <w:r w:rsidRPr="009E2812">
        <w:rPr>
          <w:sz w:val="24"/>
          <w:szCs w:val="24"/>
          <w:lang w:val="uk-UA" w:eastAsia="zh-CN"/>
        </w:rPr>
        <w:t>Фондом</w:t>
      </w:r>
      <w:r w:rsidRPr="005D5A12">
        <w:rPr>
          <w:sz w:val="24"/>
          <w:szCs w:val="24"/>
          <w:lang w:val="uk-UA" w:eastAsia="zh-CN"/>
        </w:rPr>
        <w:t xml:space="preserve"> з урахуванням вимог </w:t>
      </w:r>
      <w:r w:rsidRPr="009E2812">
        <w:rPr>
          <w:sz w:val="24"/>
          <w:szCs w:val="24"/>
          <w:lang w:val="uk-UA" w:eastAsia="zh-CN"/>
        </w:rPr>
        <w:t>МСФО</w:t>
      </w:r>
      <w:r w:rsidRPr="005D5A12">
        <w:rPr>
          <w:sz w:val="24"/>
          <w:szCs w:val="24"/>
          <w:lang w:val="uk-UA" w:eastAsia="zh-CN"/>
        </w:rPr>
        <w:t>.</w:t>
      </w:r>
    </w:p>
    <w:p w:rsidR="00B32EC0" w:rsidRPr="005D5A12" w:rsidRDefault="00B32EC0" w:rsidP="005D5A12">
      <w:pPr>
        <w:suppressAutoHyphens/>
        <w:ind w:left="720"/>
        <w:jc w:val="both"/>
        <w:rPr>
          <w:sz w:val="24"/>
          <w:szCs w:val="24"/>
          <w:shd w:val="clear" w:color="auto" w:fill="FFFF00"/>
          <w:lang w:val="uk-UA" w:eastAsia="zh-CN"/>
        </w:rPr>
      </w:pPr>
    </w:p>
    <w:p w:rsidR="00B32EC0" w:rsidRPr="009E2812" w:rsidRDefault="00B32EC0" w:rsidP="005D5A12">
      <w:pPr>
        <w:suppressAutoHyphens/>
        <w:ind w:left="720"/>
        <w:jc w:val="both"/>
        <w:rPr>
          <w:sz w:val="24"/>
          <w:szCs w:val="24"/>
          <w:lang w:val="uk-UA" w:eastAsia="zh-CN"/>
        </w:rPr>
      </w:pPr>
      <w:r w:rsidRPr="005D5A12">
        <w:rPr>
          <w:sz w:val="24"/>
          <w:szCs w:val="24"/>
          <w:lang w:val="uk-UA" w:eastAsia="zh-CN"/>
        </w:rPr>
        <w:t xml:space="preserve">За даними бухгалтерського обліку </w:t>
      </w:r>
      <w:r w:rsidRPr="009E2812">
        <w:rPr>
          <w:sz w:val="24"/>
          <w:szCs w:val="24"/>
          <w:lang w:val="uk-UA" w:eastAsia="zh-CN"/>
        </w:rPr>
        <w:t>Фонду</w:t>
      </w:r>
      <w:r w:rsidRPr="005D5A12">
        <w:rPr>
          <w:sz w:val="24"/>
          <w:szCs w:val="24"/>
          <w:lang w:val="uk-UA" w:eastAsia="zh-CN"/>
        </w:rPr>
        <w:t xml:space="preserve"> станом на 31.12.2014 р. загальна сума дебіторської заборгованості становить </w:t>
      </w:r>
      <w:r w:rsidRPr="009E2812">
        <w:rPr>
          <w:sz w:val="24"/>
          <w:szCs w:val="24"/>
          <w:lang w:val="uk-UA" w:eastAsia="zh-CN"/>
        </w:rPr>
        <w:t>237</w:t>
      </w:r>
      <w:r w:rsidRPr="005D5A12">
        <w:rPr>
          <w:sz w:val="24"/>
          <w:szCs w:val="24"/>
          <w:lang w:val="uk-UA" w:eastAsia="zh-CN"/>
        </w:rPr>
        <w:t xml:space="preserve"> тис. грн., що відповідає даним Балансу, яка складається з заборгованості:</w:t>
      </w:r>
    </w:p>
    <w:p w:rsidR="00B32EC0" w:rsidRPr="009E2812" w:rsidRDefault="00B32EC0" w:rsidP="00536621">
      <w:pPr>
        <w:numPr>
          <w:ilvl w:val="0"/>
          <w:numId w:val="2"/>
        </w:numPr>
        <w:jc w:val="both"/>
        <w:rPr>
          <w:sz w:val="24"/>
          <w:szCs w:val="24"/>
          <w:lang w:val="uk-UA"/>
        </w:rPr>
      </w:pPr>
      <w:r w:rsidRPr="009E2812">
        <w:rPr>
          <w:sz w:val="24"/>
          <w:szCs w:val="24"/>
          <w:lang w:val="uk-UA"/>
        </w:rPr>
        <w:t>поточної дебіторської заборгованості з нарахованих доходів, до складу якої віднесено нарахованих, але не отриманих на дату складання звітності відсотків за депозитними вкладами – 235 тис. грн. (код рядку 1140);</w:t>
      </w:r>
    </w:p>
    <w:p w:rsidR="00B32EC0" w:rsidRPr="005D5A12" w:rsidRDefault="00B32EC0" w:rsidP="00536621">
      <w:pPr>
        <w:numPr>
          <w:ilvl w:val="0"/>
          <w:numId w:val="2"/>
        </w:numPr>
        <w:jc w:val="both"/>
        <w:rPr>
          <w:sz w:val="24"/>
          <w:szCs w:val="24"/>
          <w:lang w:val="uk-UA" w:eastAsia="zh-CN"/>
        </w:rPr>
      </w:pPr>
      <w:r w:rsidRPr="009E2812">
        <w:rPr>
          <w:sz w:val="24"/>
          <w:szCs w:val="24"/>
          <w:lang w:val="uk-UA"/>
        </w:rPr>
        <w:t>іншої поточної дебіторської заборгованості, до складу якої віднесено нарахований дохід</w:t>
      </w:r>
      <w:r w:rsidRPr="009E2812">
        <w:rPr>
          <w:sz w:val="24"/>
          <w:szCs w:val="24"/>
          <w:lang w:val="uk-UA" w:eastAsia="zh-CN"/>
        </w:rPr>
        <w:t xml:space="preserve"> від оренди інвестиційної нерух</w:t>
      </w:r>
      <w:r w:rsidRPr="00A43886">
        <w:rPr>
          <w:sz w:val="24"/>
          <w:szCs w:val="24"/>
          <w:lang w:val="uk-UA" w:eastAsia="zh-CN"/>
        </w:rPr>
        <w:t>омості – 2 тис. грн. (ко</w:t>
      </w:r>
      <w:r w:rsidRPr="009E2812">
        <w:rPr>
          <w:sz w:val="24"/>
          <w:szCs w:val="24"/>
          <w:lang w:val="uk-UA" w:eastAsia="zh-CN"/>
        </w:rPr>
        <w:t xml:space="preserve">д рядку 1155)  </w:t>
      </w:r>
    </w:p>
    <w:p w:rsidR="00B32EC0" w:rsidRPr="00913760" w:rsidRDefault="00B32EC0" w:rsidP="00615821">
      <w:pPr>
        <w:pStyle w:val="Heading4"/>
        <w:jc w:val="center"/>
        <w:rPr>
          <w:rFonts w:ascii="Times New Roman" w:hAnsi="Times New Roman"/>
          <w:i/>
          <w:szCs w:val="24"/>
          <w:lang w:val="uk-UA"/>
        </w:rPr>
      </w:pPr>
    </w:p>
    <w:p w:rsidR="00B32EC0" w:rsidRPr="00BA7D68" w:rsidRDefault="00B32EC0" w:rsidP="00615821">
      <w:pPr>
        <w:pStyle w:val="Heading4"/>
        <w:jc w:val="center"/>
        <w:rPr>
          <w:rFonts w:ascii="Times New Roman" w:hAnsi="Times New Roman"/>
          <w:i/>
          <w:sz w:val="10"/>
          <w:szCs w:val="10"/>
          <w:lang w:val="uk-UA"/>
        </w:rPr>
      </w:pPr>
    </w:p>
    <w:p w:rsidR="00B32EC0" w:rsidRPr="00913760" w:rsidRDefault="00B32EC0" w:rsidP="00615821">
      <w:pPr>
        <w:pStyle w:val="Heading4"/>
        <w:jc w:val="center"/>
        <w:rPr>
          <w:rFonts w:ascii="Times New Roman" w:hAnsi="Times New Roman"/>
          <w:i/>
          <w:szCs w:val="24"/>
          <w:lang w:val="uk-UA"/>
        </w:rPr>
      </w:pPr>
      <w:r w:rsidRPr="00913760">
        <w:rPr>
          <w:rFonts w:ascii="Times New Roman" w:hAnsi="Times New Roman"/>
          <w:i/>
          <w:szCs w:val="24"/>
          <w:lang w:val="uk-UA"/>
        </w:rPr>
        <w:t>Грошові кошти та їх еквіваленти</w:t>
      </w:r>
    </w:p>
    <w:p w:rsidR="00B32EC0" w:rsidRPr="009E2812" w:rsidRDefault="00B32EC0" w:rsidP="002C7EC4">
      <w:pPr>
        <w:suppressAutoHyphens/>
        <w:ind w:left="720"/>
        <w:jc w:val="both"/>
        <w:rPr>
          <w:sz w:val="24"/>
          <w:szCs w:val="24"/>
          <w:lang w:val="uk-UA"/>
        </w:rPr>
      </w:pPr>
    </w:p>
    <w:p w:rsidR="00B32EC0" w:rsidRPr="009E2812" w:rsidRDefault="00B32EC0" w:rsidP="002C7EC4">
      <w:pPr>
        <w:suppressAutoHyphens/>
        <w:ind w:left="720"/>
        <w:jc w:val="both"/>
        <w:rPr>
          <w:sz w:val="24"/>
          <w:szCs w:val="24"/>
          <w:lang w:val="uk-UA"/>
        </w:rPr>
      </w:pPr>
      <w:r w:rsidRPr="009E2812">
        <w:rPr>
          <w:sz w:val="24"/>
          <w:szCs w:val="24"/>
          <w:lang w:val="uk-UA"/>
        </w:rPr>
        <w:t>Загальний розмір грошових коштів та їх еквівалентів станом на 31.12.2014 р. дорівнював 18 389 тис. грн. (код рядку 1165), з них:</w:t>
      </w:r>
    </w:p>
    <w:p w:rsidR="00B32EC0" w:rsidRPr="009E2812" w:rsidRDefault="00B32EC0" w:rsidP="002C7EC4">
      <w:pPr>
        <w:pStyle w:val="BodyTextIndent"/>
        <w:numPr>
          <w:ilvl w:val="0"/>
          <w:numId w:val="3"/>
        </w:numPr>
        <w:tabs>
          <w:tab w:val="left" w:pos="709"/>
        </w:tabs>
        <w:rPr>
          <w:rFonts w:ascii="Times New Roman" w:hAnsi="Times New Roman"/>
          <w:sz w:val="24"/>
          <w:szCs w:val="24"/>
          <w:lang w:val="uk-UA"/>
        </w:rPr>
      </w:pPr>
      <w:r w:rsidRPr="009E2812">
        <w:rPr>
          <w:rFonts w:ascii="Times New Roman" w:hAnsi="Times New Roman"/>
          <w:sz w:val="24"/>
          <w:szCs w:val="24"/>
          <w:lang w:val="uk-UA"/>
        </w:rPr>
        <w:t>на депозитних рахунках в національній валюті – 16 539 тис. грн.;</w:t>
      </w:r>
    </w:p>
    <w:p w:rsidR="00B32EC0" w:rsidRPr="009E2812" w:rsidRDefault="00B32EC0" w:rsidP="002C7EC4">
      <w:pPr>
        <w:pStyle w:val="BodyTextIndent"/>
        <w:numPr>
          <w:ilvl w:val="0"/>
          <w:numId w:val="3"/>
        </w:numPr>
        <w:tabs>
          <w:tab w:val="left" w:pos="709"/>
        </w:tabs>
        <w:rPr>
          <w:rFonts w:ascii="Times New Roman" w:hAnsi="Times New Roman"/>
          <w:sz w:val="24"/>
          <w:szCs w:val="24"/>
          <w:lang w:val="uk-UA"/>
        </w:rPr>
      </w:pPr>
      <w:r w:rsidRPr="009E2812">
        <w:rPr>
          <w:rFonts w:ascii="Times New Roman" w:hAnsi="Times New Roman"/>
          <w:sz w:val="24"/>
          <w:szCs w:val="24"/>
          <w:lang w:val="uk-UA"/>
        </w:rPr>
        <w:t>на поточному рахунку в національній валюті – 25 тис. грн.</w:t>
      </w:r>
    </w:p>
    <w:p w:rsidR="00B32EC0" w:rsidRPr="009E2812" w:rsidRDefault="00B32EC0" w:rsidP="002C7EC4">
      <w:pPr>
        <w:pStyle w:val="BodyTextIndent"/>
        <w:numPr>
          <w:ilvl w:val="0"/>
          <w:numId w:val="3"/>
        </w:numPr>
        <w:tabs>
          <w:tab w:val="left" w:pos="709"/>
        </w:tabs>
        <w:rPr>
          <w:rFonts w:ascii="Times New Roman" w:hAnsi="Times New Roman"/>
          <w:sz w:val="24"/>
          <w:szCs w:val="24"/>
          <w:lang w:val="uk-UA"/>
        </w:rPr>
      </w:pPr>
      <w:r w:rsidRPr="009E2812">
        <w:rPr>
          <w:rFonts w:ascii="Times New Roman" w:hAnsi="Times New Roman"/>
          <w:sz w:val="24"/>
          <w:szCs w:val="24"/>
          <w:lang w:val="uk-UA"/>
        </w:rPr>
        <w:t>на депозитних рахунках у банківських металах – 1 825 тис. грн.</w:t>
      </w:r>
    </w:p>
    <w:p w:rsidR="00B32EC0" w:rsidRPr="009E2812" w:rsidRDefault="00B32EC0" w:rsidP="002C7EC4">
      <w:pPr>
        <w:pStyle w:val="BodyText"/>
        <w:tabs>
          <w:tab w:val="left" w:pos="0"/>
          <w:tab w:val="left" w:pos="709"/>
        </w:tabs>
        <w:rPr>
          <w:rFonts w:ascii="Times New Roman" w:hAnsi="Times New Roman"/>
          <w:b/>
          <w:i/>
          <w:szCs w:val="24"/>
          <w:lang w:val="uk-UA"/>
        </w:rPr>
      </w:pPr>
    </w:p>
    <w:p w:rsidR="00B32EC0" w:rsidRPr="009E2812" w:rsidRDefault="00B32EC0" w:rsidP="002C7EC4">
      <w:pPr>
        <w:pStyle w:val="BodyText"/>
        <w:tabs>
          <w:tab w:val="left" w:pos="0"/>
          <w:tab w:val="left" w:pos="709"/>
        </w:tabs>
        <w:rPr>
          <w:rFonts w:ascii="Times New Roman" w:hAnsi="Times New Roman"/>
          <w:b/>
          <w:i/>
          <w:szCs w:val="24"/>
          <w:lang w:val="uk-UA"/>
        </w:rPr>
      </w:pPr>
    </w:p>
    <w:p w:rsidR="00B32EC0" w:rsidRPr="009E2812" w:rsidRDefault="00B32EC0" w:rsidP="00E019F0">
      <w:pPr>
        <w:numPr>
          <w:ilvl w:val="2"/>
          <w:numId w:val="13"/>
        </w:numPr>
        <w:suppressAutoHyphens/>
        <w:ind w:left="1418" w:hanging="709"/>
        <w:rPr>
          <w:b/>
          <w:caps/>
          <w:sz w:val="24"/>
          <w:szCs w:val="24"/>
          <w:lang w:val="uk-UA" w:eastAsia="zh-CN"/>
        </w:rPr>
      </w:pPr>
      <w:r w:rsidRPr="009E2812">
        <w:rPr>
          <w:b/>
          <w:caps/>
          <w:sz w:val="24"/>
          <w:szCs w:val="24"/>
          <w:lang w:val="uk-UA" w:eastAsia="zh-CN"/>
        </w:rPr>
        <w:t xml:space="preserve">ЗОБОВ’ЯЗАННЯ </w:t>
      </w:r>
    </w:p>
    <w:p w:rsidR="00B32EC0" w:rsidRPr="009E2812" w:rsidRDefault="00B32EC0" w:rsidP="002C7EC4">
      <w:pPr>
        <w:pStyle w:val="BodyText"/>
        <w:tabs>
          <w:tab w:val="left" w:pos="0"/>
          <w:tab w:val="left" w:pos="709"/>
        </w:tabs>
        <w:rPr>
          <w:rFonts w:ascii="Times New Roman" w:hAnsi="Times New Roman"/>
          <w:b/>
          <w:i/>
          <w:szCs w:val="24"/>
          <w:lang w:val="uk-UA"/>
        </w:rPr>
      </w:pPr>
    </w:p>
    <w:p w:rsidR="00B32EC0" w:rsidRPr="005D5A12" w:rsidRDefault="00B32EC0" w:rsidP="00E019F0">
      <w:pPr>
        <w:suppressAutoHyphens/>
        <w:ind w:left="720"/>
        <w:jc w:val="both"/>
        <w:rPr>
          <w:sz w:val="24"/>
          <w:szCs w:val="24"/>
          <w:shd w:val="clear" w:color="auto" w:fill="FFFF00"/>
          <w:lang w:val="uk-UA" w:eastAsia="zh-CN"/>
        </w:rPr>
      </w:pPr>
      <w:r w:rsidRPr="009E2812">
        <w:rPr>
          <w:sz w:val="24"/>
          <w:szCs w:val="24"/>
          <w:lang w:val="uk-UA" w:eastAsia="zh-CN"/>
        </w:rPr>
        <w:t>Кредиторська</w:t>
      </w:r>
      <w:r w:rsidRPr="005D5A12">
        <w:rPr>
          <w:sz w:val="24"/>
          <w:szCs w:val="24"/>
          <w:lang w:val="uk-UA" w:eastAsia="zh-CN"/>
        </w:rPr>
        <w:t xml:space="preserve"> заборгованість відображається </w:t>
      </w:r>
      <w:r w:rsidRPr="009E2812">
        <w:rPr>
          <w:sz w:val="24"/>
          <w:szCs w:val="24"/>
          <w:lang w:val="uk-UA" w:eastAsia="zh-CN"/>
        </w:rPr>
        <w:t>Фондом</w:t>
      </w:r>
      <w:r w:rsidRPr="005D5A12">
        <w:rPr>
          <w:sz w:val="24"/>
          <w:szCs w:val="24"/>
          <w:lang w:val="uk-UA" w:eastAsia="zh-CN"/>
        </w:rPr>
        <w:t xml:space="preserve"> з урахуванням вимог </w:t>
      </w:r>
      <w:r w:rsidRPr="009E2812">
        <w:rPr>
          <w:sz w:val="24"/>
          <w:szCs w:val="24"/>
          <w:lang w:val="uk-UA" w:eastAsia="zh-CN"/>
        </w:rPr>
        <w:t>МСФ</w:t>
      </w:r>
      <w:r>
        <w:rPr>
          <w:sz w:val="24"/>
          <w:szCs w:val="24"/>
          <w:lang w:val="uk-UA" w:eastAsia="zh-CN"/>
        </w:rPr>
        <w:t>З</w:t>
      </w:r>
      <w:r w:rsidRPr="005D5A12">
        <w:rPr>
          <w:sz w:val="24"/>
          <w:szCs w:val="24"/>
          <w:lang w:val="uk-UA" w:eastAsia="zh-CN"/>
        </w:rPr>
        <w:t>.</w:t>
      </w:r>
    </w:p>
    <w:p w:rsidR="00B32EC0" w:rsidRPr="005D5A12" w:rsidRDefault="00B32EC0" w:rsidP="00E019F0">
      <w:pPr>
        <w:suppressAutoHyphens/>
        <w:ind w:left="720"/>
        <w:jc w:val="both"/>
        <w:rPr>
          <w:sz w:val="24"/>
          <w:szCs w:val="24"/>
          <w:shd w:val="clear" w:color="auto" w:fill="FFFF00"/>
          <w:lang w:val="uk-UA" w:eastAsia="zh-CN"/>
        </w:rPr>
      </w:pPr>
    </w:p>
    <w:p w:rsidR="00B32EC0" w:rsidRPr="009E2812" w:rsidRDefault="00B32EC0" w:rsidP="00E019F0">
      <w:pPr>
        <w:suppressAutoHyphens/>
        <w:ind w:left="720"/>
        <w:jc w:val="both"/>
        <w:rPr>
          <w:sz w:val="24"/>
          <w:szCs w:val="24"/>
          <w:lang w:val="uk-UA" w:eastAsia="zh-CN"/>
        </w:rPr>
      </w:pPr>
      <w:r w:rsidRPr="005D5A12">
        <w:rPr>
          <w:sz w:val="24"/>
          <w:szCs w:val="24"/>
          <w:lang w:val="uk-UA" w:eastAsia="zh-CN"/>
        </w:rPr>
        <w:t xml:space="preserve">За даними бухгалтерського обліку </w:t>
      </w:r>
      <w:r w:rsidRPr="009E2812">
        <w:rPr>
          <w:sz w:val="24"/>
          <w:szCs w:val="24"/>
          <w:lang w:val="uk-UA" w:eastAsia="zh-CN"/>
        </w:rPr>
        <w:t>Фонду</w:t>
      </w:r>
      <w:r w:rsidRPr="005D5A12">
        <w:rPr>
          <w:sz w:val="24"/>
          <w:szCs w:val="24"/>
          <w:lang w:val="uk-UA" w:eastAsia="zh-CN"/>
        </w:rPr>
        <w:t xml:space="preserve"> станом на 31.12.2014 р. загальна сума </w:t>
      </w:r>
      <w:r w:rsidRPr="009E2812">
        <w:rPr>
          <w:sz w:val="24"/>
          <w:szCs w:val="24"/>
          <w:lang w:val="uk-UA" w:eastAsia="zh-CN"/>
        </w:rPr>
        <w:t>кредиторської</w:t>
      </w:r>
      <w:r w:rsidRPr="005D5A12">
        <w:rPr>
          <w:sz w:val="24"/>
          <w:szCs w:val="24"/>
          <w:lang w:val="uk-UA" w:eastAsia="zh-CN"/>
        </w:rPr>
        <w:t xml:space="preserve"> заборгованості становить </w:t>
      </w:r>
      <w:r w:rsidRPr="009E2812">
        <w:rPr>
          <w:sz w:val="24"/>
          <w:szCs w:val="24"/>
          <w:lang w:val="uk-UA" w:eastAsia="zh-CN"/>
        </w:rPr>
        <w:t>156</w:t>
      </w:r>
      <w:r w:rsidRPr="005D5A12">
        <w:rPr>
          <w:sz w:val="24"/>
          <w:szCs w:val="24"/>
          <w:lang w:val="uk-UA" w:eastAsia="zh-CN"/>
        </w:rPr>
        <w:t xml:space="preserve"> тис. грн.</w:t>
      </w:r>
      <w:r w:rsidRPr="009E2812">
        <w:rPr>
          <w:sz w:val="24"/>
          <w:szCs w:val="24"/>
          <w:lang w:val="uk-UA" w:eastAsia="zh-CN"/>
        </w:rPr>
        <w:t xml:space="preserve"> (код рядку 1615)</w:t>
      </w:r>
      <w:r w:rsidRPr="005D5A12">
        <w:rPr>
          <w:sz w:val="24"/>
          <w:szCs w:val="24"/>
          <w:lang w:val="uk-UA" w:eastAsia="zh-CN"/>
        </w:rPr>
        <w:t xml:space="preserve">, що відповідає даним Балансу, яка складається з </w:t>
      </w:r>
      <w:r w:rsidRPr="009E2812">
        <w:rPr>
          <w:sz w:val="24"/>
          <w:szCs w:val="24"/>
          <w:lang w:val="uk-UA" w:eastAsia="zh-CN"/>
        </w:rPr>
        <w:t xml:space="preserve">поточної </w:t>
      </w:r>
      <w:r w:rsidRPr="005D5A12">
        <w:rPr>
          <w:sz w:val="24"/>
          <w:szCs w:val="24"/>
          <w:lang w:val="uk-UA" w:eastAsia="zh-CN"/>
        </w:rPr>
        <w:t>:</w:t>
      </w:r>
    </w:p>
    <w:p w:rsidR="00B32EC0" w:rsidRPr="009E2812" w:rsidRDefault="00B32EC0" w:rsidP="00E019F0">
      <w:pPr>
        <w:numPr>
          <w:ilvl w:val="0"/>
          <w:numId w:val="2"/>
        </w:numPr>
        <w:jc w:val="both"/>
        <w:rPr>
          <w:sz w:val="24"/>
          <w:szCs w:val="24"/>
          <w:lang w:val="uk-UA"/>
        </w:rPr>
      </w:pPr>
      <w:r w:rsidRPr="009E2812">
        <w:rPr>
          <w:sz w:val="24"/>
          <w:szCs w:val="24"/>
          <w:lang w:val="uk-UA"/>
        </w:rPr>
        <w:t xml:space="preserve">заборгованості за послуги з адміністрування – 45 тис. грн. </w:t>
      </w:r>
    </w:p>
    <w:p w:rsidR="00B32EC0" w:rsidRPr="009E2812" w:rsidRDefault="00B32EC0" w:rsidP="00E019F0">
      <w:pPr>
        <w:numPr>
          <w:ilvl w:val="0"/>
          <w:numId w:val="2"/>
        </w:numPr>
        <w:jc w:val="both"/>
        <w:rPr>
          <w:sz w:val="24"/>
          <w:szCs w:val="24"/>
          <w:lang w:val="uk-UA"/>
        </w:rPr>
      </w:pPr>
      <w:r w:rsidRPr="009E2812">
        <w:rPr>
          <w:sz w:val="24"/>
          <w:szCs w:val="24"/>
          <w:lang w:val="uk-UA"/>
        </w:rPr>
        <w:t>заборгованості за послуги з управління активами – 111 тис. грн.</w:t>
      </w:r>
    </w:p>
    <w:p w:rsidR="00B32EC0" w:rsidRPr="009E2812" w:rsidRDefault="00B32EC0" w:rsidP="00A51770">
      <w:pPr>
        <w:numPr>
          <w:ilvl w:val="2"/>
          <w:numId w:val="13"/>
        </w:numPr>
        <w:suppressAutoHyphens/>
        <w:ind w:left="1418" w:hanging="709"/>
        <w:rPr>
          <w:b/>
          <w:caps/>
          <w:sz w:val="24"/>
          <w:szCs w:val="24"/>
          <w:lang w:val="uk-UA" w:eastAsia="zh-CN"/>
        </w:rPr>
      </w:pPr>
      <w:r w:rsidRPr="009E2812">
        <w:rPr>
          <w:b/>
          <w:caps/>
          <w:sz w:val="24"/>
          <w:szCs w:val="24"/>
          <w:lang w:val="uk-UA" w:eastAsia="zh-CN"/>
        </w:rPr>
        <w:t>Доходи</w:t>
      </w:r>
    </w:p>
    <w:p w:rsidR="00B32EC0" w:rsidRPr="009E2812" w:rsidRDefault="00B32EC0" w:rsidP="002C7EC4">
      <w:pPr>
        <w:suppressAutoHyphens/>
        <w:ind w:left="720"/>
        <w:jc w:val="both"/>
        <w:rPr>
          <w:sz w:val="24"/>
          <w:szCs w:val="24"/>
          <w:lang w:val="uk-UA"/>
        </w:rPr>
      </w:pPr>
    </w:p>
    <w:p w:rsidR="00B32EC0" w:rsidRPr="009E2812" w:rsidRDefault="00B32EC0" w:rsidP="002C7EC4">
      <w:pPr>
        <w:suppressAutoHyphens/>
        <w:ind w:left="720"/>
        <w:jc w:val="both"/>
        <w:rPr>
          <w:sz w:val="24"/>
          <w:szCs w:val="24"/>
          <w:lang w:val="uk-UA"/>
        </w:rPr>
      </w:pPr>
      <w:r w:rsidRPr="009E2812">
        <w:rPr>
          <w:sz w:val="24"/>
          <w:szCs w:val="24"/>
          <w:lang w:val="uk-UA"/>
        </w:rPr>
        <w:t>За результатами фінансово-господарської діяльності за 2014 рік Фондом одержано та показано в Звіті про фінансові результати (Звіт про сукупний дохід) доходи в загальній сумі 26 972 тис. грн., а саме:</w:t>
      </w:r>
    </w:p>
    <w:p w:rsidR="00B32EC0" w:rsidRPr="009E2812" w:rsidRDefault="00B32EC0" w:rsidP="002C7EC4">
      <w:pPr>
        <w:suppressAutoHyphens/>
        <w:ind w:left="720"/>
        <w:jc w:val="both"/>
        <w:rPr>
          <w:sz w:val="24"/>
          <w:szCs w:val="24"/>
          <w:lang w:val="uk-UA"/>
        </w:rPr>
      </w:pPr>
    </w:p>
    <w:p w:rsidR="00B32EC0" w:rsidRPr="009E2812" w:rsidRDefault="00B32EC0" w:rsidP="002C7EC4">
      <w:pPr>
        <w:pStyle w:val="BodyText"/>
        <w:numPr>
          <w:ilvl w:val="0"/>
          <w:numId w:val="4"/>
        </w:numPr>
        <w:tabs>
          <w:tab w:val="left" w:pos="0"/>
          <w:tab w:val="left" w:pos="993"/>
        </w:tabs>
        <w:ind w:right="-142"/>
        <w:rPr>
          <w:rFonts w:ascii="Times New Roman" w:hAnsi="Times New Roman"/>
          <w:szCs w:val="24"/>
          <w:lang w:val="uk-UA"/>
        </w:rPr>
      </w:pPr>
      <w:r w:rsidRPr="009E2812">
        <w:rPr>
          <w:rFonts w:ascii="Times New Roman" w:hAnsi="Times New Roman"/>
          <w:szCs w:val="24"/>
          <w:lang w:val="uk-UA"/>
        </w:rPr>
        <w:t xml:space="preserve">інші операційні доходи (зміна справедливої вартості активу, оренда інвестиційної нерухомості) – 2 526 тис. грн. </w:t>
      </w:r>
    </w:p>
    <w:p w:rsidR="00B32EC0" w:rsidRPr="009E2812" w:rsidRDefault="00B32EC0" w:rsidP="002C7EC4">
      <w:pPr>
        <w:pStyle w:val="BodyText"/>
        <w:numPr>
          <w:ilvl w:val="0"/>
          <w:numId w:val="4"/>
        </w:numPr>
        <w:tabs>
          <w:tab w:val="left" w:pos="0"/>
          <w:tab w:val="left" w:pos="993"/>
        </w:tabs>
        <w:ind w:right="-142"/>
        <w:rPr>
          <w:rFonts w:ascii="Times New Roman" w:hAnsi="Times New Roman"/>
          <w:szCs w:val="24"/>
          <w:lang w:val="uk-UA"/>
        </w:rPr>
      </w:pPr>
      <w:r w:rsidRPr="009E2812">
        <w:rPr>
          <w:rFonts w:ascii="Times New Roman" w:hAnsi="Times New Roman"/>
          <w:szCs w:val="24"/>
          <w:lang w:val="uk-UA"/>
        </w:rPr>
        <w:t>інші фінансові доходи (відсотки по депозиту, купонний дохід</w:t>
      </w:r>
      <w:r>
        <w:rPr>
          <w:rFonts w:ascii="Times New Roman" w:hAnsi="Times New Roman"/>
          <w:szCs w:val="24"/>
          <w:lang w:val="uk-UA"/>
        </w:rPr>
        <w:t>, дивід</w:t>
      </w:r>
      <w:r w:rsidRPr="009E2812">
        <w:rPr>
          <w:rFonts w:ascii="Times New Roman" w:hAnsi="Times New Roman"/>
          <w:szCs w:val="24"/>
          <w:lang w:val="uk-UA"/>
        </w:rPr>
        <w:t>е</w:t>
      </w:r>
      <w:r>
        <w:rPr>
          <w:rFonts w:ascii="Times New Roman" w:hAnsi="Times New Roman"/>
          <w:szCs w:val="24"/>
          <w:lang w:val="uk-UA"/>
        </w:rPr>
        <w:t>н</w:t>
      </w:r>
      <w:r w:rsidRPr="009E2812">
        <w:rPr>
          <w:rFonts w:ascii="Times New Roman" w:hAnsi="Times New Roman"/>
          <w:szCs w:val="24"/>
          <w:lang w:val="uk-UA"/>
        </w:rPr>
        <w:t>ди) – 5 731 тис. грн.;</w:t>
      </w:r>
    </w:p>
    <w:p w:rsidR="00B32EC0" w:rsidRPr="009E2812" w:rsidRDefault="00B32EC0" w:rsidP="002C7EC4">
      <w:pPr>
        <w:pStyle w:val="BodyText"/>
        <w:numPr>
          <w:ilvl w:val="0"/>
          <w:numId w:val="4"/>
        </w:numPr>
        <w:tabs>
          <w:tab w:val="left" w:pos="0"/>
          <w:tab w:val="left" w:pos="993"/>
        </w:tabs>
        <w:ind w:right="-142"/>
        <w:rPr>
          <w:rFonts w:ascii="Times New Roman" w:hAnsi="Times New Roman"/>
          <w:szCs w:val="24"/>
          <w:lang w:val="uk-UA"/>
        </w:rPr>
      </w:pPr>
      <w:r w:rsidRPr="009E2812">
        <w:rPr>
          <w:rFonts w:ascii="Times New Roman" w:hAnsi="Times New Roman"/>
          <w:szCs w:val="24"/>
          <w:lang w:val="uk-UA"/>
        </w:rPr>
        <w:t>інші доходи (дохід від реалізації фінансових інвестицій, дохід від збільшення балансової вартості цінних паперів) – 18 715 тис. грн.</w:t>
      </w:r>
    </w:p>
    <w:p w:rsidR="00B32EC0" w:rsidRPr="009E2812" w:rsidRDefault="00B32EC0" w:rsidP="002C7EC4">
      <w:pPr>
        <w:suppressAutoHyphens/>
        <w:ind w:left="720"/>
        <w:jc w:val="both"/>
        <w:rPr>
          <w:sz w:val="24"/>
          <w:szCs w:val="24"/>
          <w:lang w:val="uk-UA"/>
        </w:rPr>
      </w:pPr>
    </w:p>
    <w:p w:rsidR="00B32EC0" w:rsidRPr="009E2812" w:rsidRDefault="00B32EC0" w:rsidP="002C7EC4">
      <w:pPr>
        <w:suppressAutoHyphens/>
        <w:ind w:left="720"/>
        <w:jc w:val="both"/>
        <w:rPr>
          <w:sz w:val="24"/>
          <w:szCs w:val="24"/>
          <w:lang w:val="uk-UA"/>
        </w:rPr>
      </w:pPr>
      <w:r w:rsidRPr="009E2812">
        <w:rPr>
          <w:sz w:val="24"/>
          <w:szCs w:val="24"/>
          <w:lang w:val="uk-UA"/>
        </w:rPr>
        <w:t>Облік доходів протягом 2014 року здійснювався Фондом в усіх суттєвих аспектах з урахуванням  положень Міжнародних стандартів фінансової звітності.</w:t>
      </w:r>
    </w:p>
    <w:p w:rsidR="00B32EC0" w:rsidRPr="009E2812" w:rsidRDefault="00B32EC0" w:rsidP="002C7EC4">
      <w:pPr>
        <w:jc w:val="both"/>
        <w:rPr>
          <w:sz w:val="24"/>
          <w:szCs w:val="24"/>
          <w:lang w:val="uk-UA"/>
        </w:rPr>
      </w:pPr>
    </w:p>
    <w:p w:rsidR="00B32EC0" w:rsidRPr="009E2812" w:rsidRDefault="00B32EC0" w:rsidP="002C7EC4">
      <w:pPr>
        <w:jc w:val="both"/>
        <w:rPr>
          <w:sz w:val="24"/>
          <w:szCs w:val="24"/>
          <w:lang w:val="uk-UA"/>
        </w:rPr>
      </w:pPr>
    </w:p>
    <w:p w:rsidR="00B32EC0" w:rsidRPr="009E2812" w:rsidRDefault="00B32EC0" w:rsidP="00A51770">
      <w:pPr>
        <w:numPr>
          <w:ilvl w:val="2"/>
          <w:numId w:val="13"/>
        </w:numPr>
        <w:suppressAutoHyphens/>
        <w:ind w:left="1418" w:hanging="709"/>
        <w:rPr>
          <w:b/>
          <w:caps/>
          <w:sz w:val="24"/>
          <w:szCs w:val="24"/>
          <w:lang w:val="uk-UA" w:eastAsia="zh-CN"/>
        </w:rPr>
      </w:pPr>
      <w:r w:rsidRPr="009E2812">
        <w:rPr>
          <w:b/>
          <w:caps/>
          <w:sz w:val="24"/>
          <w:szCs w:val="24"/>
          <w:lang w:val="uk-UA" w:eastAsia="zh-CN"/>
        </w:rPr>
        <w:t>Витрати</w:t>
      </w:r>
    </w:p>
    <w:p w:rsidR="00B32EC0" w:rsidRPr="009E2812" w:rsidRDefault="00B32EC0" w:rsidP="002C7EC4">
      <w:pPr>
        <w:suppressAutoHyphens/>
        <w:ind w:left="720"/>
        <w:jc w:val="both"/>
        <w:rPr>
          <w:sz w:val="24"/>
          <w:szCs w:val="24"/>
          <w:lang w:val="uk-UA"/>
        </w:rPr>
      </w:pPr>
    </w:p>
    <w:p w:rsidR="00B32EC0" w:rsidRPr="009E2812" w:rsidRDefault="00B32EC0" w:rsidP="002C7EC4">
      <w:pPr>
        <w:suppressAutoHyphens/>
        <w:ind w:left="720"/>
        <w:jc w:val="both"/>
        <w:rPr>
          <w:sz w:val="24"/>
          <w:szCs w:val="24"/>
          <w:lang w:val="uk-UA"/>
        </w:rPr>
      </w:pPr>
      <w:r w:rsidRPr="009E2812">
        <w:rPr>
          <w:sz w:val="24"/>
          <w:szCs w:val="24"/>
          <w:lang w:val="uk-UA"/>
        </w:rPr>
        <w:t>За результатами фінансово-господарської діяльності за 2014 рік  Фондом понесені та показані в Звіті про фінансові результати (Звіті про сукупний дохід) витрати в загальній сумі 21 839 тис. грн., а саме:</w:t>
      </w:r>
    </w:p>
    <w:p w:rsidR="00B32EC0" w:rsidRPr="009E2812" w:rsidRDefault="00B32EC0" w:rsidP="002C7EC4">
      <w:pPr>
        <w:suppressAutoHyphens/>
        <w:ind w:left="720"/>
        <w:jc w:val="both"/>
        <w:rPr>
          <w:sz w:val="24"/>
          <w:szCs w:val="24"/>
          <w:lang w:val="uk-UA"/>
        </w:rPr>
      </w:pPr>
    </w:p>
    <w:p w:rsidR="00B32EC0" w:rsidRPr="009E2812" w:rsidRDefault="00B32EC0" w:rsidP="002C7EC4">
      <w:pPr>
        <w:pStyle w:val="BodyText"/>
        <w:numPr>
          <w:ilvl w:val="0"/>
          <w:numId w:val="5"/>
        </w:numPr>
        <w:tabs>
          <w:tab w:val="left" w:pos="0"/>
          <w:tab w:val="left" w:pos="993"/>
        </w:tabs>
        <w:ind w:right="-142"/>
        <w:rPr>
          <w:rFonts w:ascii="Times New Roman" w:hAnsi="Times New Roman"/>
          <w:szCs w:val="24"/>
          <w:lang w:val="uk-UA"/>
        </w:rPr>
      </w:pPr>
      <w:r w:rsidRPr="009E2812">
        <w:rPr>
          <w:rFonts w:ascii="Times New Roman" w:hAnsi="Times New Roman"/>
          <w:szCs w:val="24"/>
          <w:lang w:val="uk-UA"/>
        </w:rPr>
        <w:t>адміністративні витрати (витрати на послуги адміністратора, компанії з управління активами, зберігача, аудиторські послуги) – 1 722 тис. грн.;</w:t>
      </w:r>
    </w:p>
    <w:p w:rsidR="00B32EC0" w:rsidRPr="009E2812" w:rsidRDefault="00B32EC0" w:rsidP="002C7EC4">
      <w:pPr>
        <w:pStyle w:val="BodyText"/>
        <w:numPr>
          <w:ilvl w:val="0"/>
          <w:numId w:val="5"/>
        </w:numPr>
        <w:tabs>
          <w:tab w:val="left" w:pos="0"/>
          <w:tab w:val="left" w:pos="993"/>
        </w:tabs>
        <w:ind w:right="-142"/>
        <w:rPr>
          <w:rFonts w:ascii="Times New Roman" w:hAnsi="Times New Roman"/>
          <w:szCs w:val="24"/>
          <w:lang w:val="uk-UA"/>
        </w:rPr>
      </w:pPr>
      <w:r w:rsidRPr="009E2812">
        <w:rPr>
          <w:rFonts w:ascii="Times New Roman" w:hAnsi="Times New Roman"/>
          <w:szCs w:val="24"/>
          <w:lang w:val="uk-UA"/>
        </w:rPr>
        <w:t>інші операційні витрати (витрати від зменшення  балансової вартості активу) – 1 615 тис. грн.</w:t>
      </w:r>
    </w:p>
    <w:p w:rsidR="00B32EC0" w:rsidRPr="009E2812" w:rsidRDefault="00B32EC0" w:rsidP="00812998">
      <w:pPr>
        <w:pStyle w:val="BodyText"/>
        <w:numPr>
          <w:ilvl w:val="0"/>
          <w:numId w:val="5"/>
        </w:numPr>
        <w:tabs>
          <w:tab w:val="left" w:pos="0"/>
          <w:tab w:val="left" w:pos="993"/>
        </w:tabs>
        <w:ind w:right="-142"/>
        <w:rPr>
          <w:rFonts w:ascii="Times New Roman" w:hAnsi="Times New Roman"/>
          <w:szCs w:val="24"/>
          <w:lang w:val="uk-UA"/>
        </w:rPr>
      </w:pPr>
      <w:r w:rsidRPr="009E2812">
        <w:rPr>
          <w:rFonts w:ascii="Times New Roman" w:hAnsi="Times New Roman"/>
          <w:szCs w:val="24"/>
          <w:lang w:val="uk-UA"/>
        </w:rPr>
        <w:t xml:space="preserve">інші </w:t>
      </w:r>
      <w:r>
        <w:rPr>
          <w:rFonts w:ascii="Times New Roman" w:hAnsi="Times New Roman"/>
          <w:szCs w:val="24"/>
          <w:lang w:val="uk-UA"/>
        </w:rPr>
        <w:t>в</w:t>
      </w:r>
      <w:r w:rsidRPr="009E2812">
        <w:rPr>
          <w:rFonts w:ascii="Times New Roman" w:hAnsi="Times New Roman"/>
          <w:szCs w:val="24"/>
          <w:lang w:val="uk-UA"/>
        </w:rPr>
        <w:t>итрати (собівартість реалізованих фінансових інвестицій, витрати від зменшення  балансової вартості цінних паперів) – 18 502 тис. грн.</w:t>
      </w:r>
    </w:p>
    <w:p w:rsidR="00B32EC0" w:rsidRPr="009E2812" w:rsidRDefault="00B32EC0" w:rsidP="00812998">
      <w:pPr>
        <w:pStyle w:val="BodyText"/>
        <w:tabs>
          <w:tab w:val="left" w:pos="0"/>
          <w:tab w:val="left" w:pos="993"/>
        </w:tabs>
        <w:ind w:left="1068" w:right="-142"/>
        <w:rPr>
          <w:rFonts w:ascii="Times New Roman" w:hAnsi="Times New Roman"/>
          <w:szCs w:val="24"/>
          <w:lang w:val="uk-UA"/>
        </w:rPr>
      </w:pPr>
    </w:p>
    <w:p w:rsidR="00B32EC0" w:rsidRPr="009E2812" w:rsidRDefault="00B32EC0" w:rsidP="002C7EC4">
      <w:pPr>
        <w:suppressAutoHyphens/>
        <w:ind w:left="720"/>
        <w:jc w:val="both"/>
        <w:rPr>
          <w:sz w:val="24"/>
          <w:szCs w:val="24"/>
          <w:lang w:val="uk-UA"/>
        </w:rPr>
      </w:pPr>
      <w:r w:rsidRPr="009E2812">
        <w:rPr>
          <w:sz w:val="24"/>
          <w:szCs w:val="24"/>
          <w:lang w:val="uk-UA"/>
        </w:rPr>
        <w:t>Облік витрат діяльності протягом 2014 року здійснювався Фондом в усіх суттєвих аспектах з урахуванням  положень Міжнародних стандартів фінансової звітності.</w:t>
      </w:r>
    </w:p>
    <w:p w:rsidR="00B32EC0" w:rsidRPr="009E2812" w:rsidRDefault="00B32EC0" w:rsidP="002C7EC4">
      <w:pPr>
        <w:jc w:val="both"/>
        <w:rPr>
          <w:sz w:val="24"/>
          <w:szCs w:val="24"/>
          <w:lang w:val="uk-UA"/>
        </w:rPr>
      </w:pPr>
    </w:p>
    <w:p w:rsidR="00B32EC0" w:rsidRPr="009E2812" w:rsidRDefault="00B32EC0" w:rsidP="006C601C">
      <w:pPr>
        <w:suppressAutoHyphens/>
        <w:ind w:left="720"/>
        <w:jc w:val="both"/>
        <w:rPr>
          <w:i/>
          <w:sz w:val="24"/>
          <w:szCs w:val="24"/>
          <w:lang w:val="uk-UA"/>
        </w:rPr>
      </w:pPr>
      <w:r w:rsidRPr="009E2812">
        <w:rPr>
          <w:i/>
          <w:sz w:val="24"/>
          <w:szCs w:val="24"/>
          <w:lang w:val="uk-UA"/>
        </w:rPr>
        <w:t>Винагорода адміністратора</w:t>
      </w:r>
    </w:p>
    <w:p w:rsidR="00B32EC0" w:rsidRPr="009E2812" w:rsidRDefault="00B32EC0" w:rsidP="006C601C">
      <w:pPr>
        <w:suppressAutoHyphens/>
        <w:ind w:left="720"/>
        <w:jc w:val="both"/>
        <w:rPr>
          <w:sz w:val="24"/>
          <w:szCs w:val="24"/>
          <w:lang w:val="uk-UA"/>
        </w:rPr>
      </w:pPr>
      <w:r w:rsidRPr="009E2812">
        <w:rPr>
          <w:sz w:val="24"/>
          <w:szCs w:val="24"/>
          <w:lang w:val="uk-UA"/>
        </w:rPr>
        <w:t>Розмір тарифів на оплату послуг з адміністрування пенсійного фонду визначено :</w:t>
      </w:r>
    </w:p>
    <w:p w:rsidR="00B32EC0" w:rsidRPr="009E2812" w:rsidRDefault="00B32EC0" w:rsidP="006C601C">
      <w:pPr>
        <w:numPr>
          <w:ilvl w:val="0"/>
          <w:numId w:val="12"/>
        </w:numPr>
        <w:jc w:val="both"/>
        <w:rPr>
          <w:sz w:val="24"/>
          <w:szCs w:val="24"/>
          <w:lang w:val="uk-UA"/>
        </w:rPr>
      </w:pPr>
      <w:r w:rsidRPr="009E2812">
        <w:rPr>
          <w:sz w:val="24"/>
          <w:szCs w:val="24"/>
          <w:lang w:val="uk-UA"/>
        </w:rPr>
        <w:t>Договором про адміністрування пенсійног</w:t>
      </w:r>
      <w:r w:rsidRPr="00A43886">
        <w:rPr>
          <w:sz w:val="24"/>
          <w:szCs w:val="24"/>
          <w:lang w:val="uk-UA"/>
        </w:rPr>
        <w:t>о фонду від 01.04.2013 р. Ро</w:t>
      </w:r>
      <w:r w:rsidRPr="009E2812">
        <w:rPr>
          <w:sz w:val="24"/>
          <w:szCs w:val="24"/>
          <w:lang w:val="uk-UA"/>
        </w:rPr>
        <w:t xml:space="preserve">змір тарифу згідно даного договору становив 1,2 % від чистої вартості активів пенсійного фонду в рік, або 0,1 % від чистої вартості активів пенсійного фонду в місяць. </w:t>
      </w:r>
    </w:p>
    <w:p w:rsidR="00B32EC0" w:rsidRPr="009E2812" w:rsidRDefault="00B32EC0" w:rsidP="006C601C">
      <w:pPr>
        <w:ind w:left="720"/>
        <w:jc w:val="both"/>
        <w:rPr>
          <w:sz w:val="24"/>
          <w:szCs w:val="24"/>
          <w:lang w:val="uk-UA"/>
        </w:rPr>
      </w:pPr>
    </w:p>
    <w:p w:rsidR="00B32EC0" w:rsidRPr="009E2812" w:rsidRDefault="00B32EC0" w:rsidP="006C601C">
      <w:pPr>
        <w:suppressAutoHyphens/>
        <w:ind w:left="720"/>
        <w:jc w:val="both"/>
        <w:rPr>
          <w:sz w:val="24"/>
          <w:szCs w:val="24"/>
          <w:lang w:val="uk-UA"/>
        </w:rPr>
      </w:pPr>
      <w:r w:rsidRPr="009E2812">
        <w:rPr>
          <w:i/>
          <w:sz w:val="24"/>
          <w:szCs w:val="24"/>
          <w:lang w:val="uk-UA"/>
        </w:rPr>
        <w:t>Розмір винагороди особі, що здійснює управління активами</w:t>
      </w:r>
      <w:r w:rsidRPr="009E2812">
        <w:rPr>
          <w:sz w:val="24"/>
          <w:szCs w:val="24"/>
          <w:lang w:val="uk-UA"/>
        </w:rPr>
        <w:t xml:space="preserve"> ВПФ «ФАРМАЦЕВТИЧНИЙ», визначено Договором про управління активами пенсійного фонду від 01.04.2013 р. як відсоток чистої вартості активів пенсійного фонду, що перебувають в управлінні ТОВ «КУА «ГАРАНТІЯ-ІНВЕСТ». Сумарний розмір винагороди, що сплачується за рахунок пенсійних активів Компанії з управління активами, становить 3,0 % від чистої вартості активів за рік, або 0,25 % - на місяць.</w:t>
      </w:r>
    </w:p>
    <w:p w:rsidR="00B32EC0" w:rsidRPr="009E2812" w:rsidRDefault="00B32EC0" w:rsidP="006C601C">
      <w:pPr>
        <w:jc w:val="both"/>
        <w:rPr>
          <w:i/>
          <w:sz w:val="24"/>
          <w:szCs w:val="24"/>
          <w:lang w:val="uk-UA"/>
        </w:rPr>
      </w:pPr>
    </w:p>
    <w:p w:rsidR="00B32EC0" w:rsidRPr="009E2812" w:rsidRDefault="00B32EC0" w:rsidP="006C601C">
      <w:pPr>
        <w:suppressAutoHyphens/>
        <w:ind w:left="720"/>
        <w:jc w:val="both"/>
        <w:rPr>
          <w:i/>
          <w:sz w:val="24"/>
          <w:szCs w:val="24"/>
          <w:lang w:val="uk-UA"/>
        </w:rPr>
      </w:pPr>
      <w:r w:rsidRPr="009E2812">
        <w:rPr>
          <w:i/>
          <w:sz w:val="24"/>
          <w:szCs w:val="24"/>
          <w:lang w:val="uk-UA"/>
        </w:rPr>
        <w:t xml:space="preserve">Винагорода зберігача </w:t>
      </w:r>
    </w:p>
    <w:p w:rsidR="00B32EC0" w:rsidRPr="009E2812" w:rsidRDefault="00B32EC0" w:rsidP="006C601C">
      <w:pPr>
        <w:suppressAutoHyphens/>
        <w:ind w:left="720"/>
        <w:jc w:val="both"/>
        <w:rPr>
          <w:sz w:val="24"/>
          <w:szCs w:val="24"/>
          <w:lang w:val="uk-UA"/>
        </w:rPr>
      </w:pPr>
      <w:r w:rsidRPr="009E2812">
        <w:rPr>
          <w:sz w:val="24"/>
          <w:szCs w:val="24"/>
          <w:lang w:val="uk-UA"/>
        </w:rPr>
        <w:t>Розмір оплати за всі послуги Зберігача (ПАТ «Український Професійний Банк») в 2014 році встановлювалис</w:t>
      </w:r>
      <w:r w:rsidRPr="00A43886">
        <w:rPr>
          <w:sz w:val="24"/>
          <w:szCs w:val="24"/>
          <w:lang w:val="uk-UA"/>
        </w:rPr>
        <w:t>ь Генеральним договором про обслуговування пенсійного фонду зберігачем № 1 від 01.04.2013 р. у розмірі, що не перевищує 0,5 % від чистої вартості активів Фонду.</w:t>
      </w:r>
      <w:r w:rsidRPr="009E2812">
        <w:rPr>
          <w:sz w:val="24"/>
          <w:szCs w:val="24"/>
          <w:lang w:val="uk-UA"/>
        </w:rPr>
        <w:t xml:space="preserve">  </w:t>
      </w:r>
    </w:p>
    <w:p w:rsidR="00B32EC0" w:rsidRPr="009E2812" w:rsidRDefault="00B32EC0" w:rsidP="006C601C">
      <w:pPr>
        <w:suppressAutoHyphens/>
        <w:ind w:left="720"/>
        <w:jc w:val="both"/>
        <w:rPr>
          <w:sz w:val="24"/>
          <w:szCs w:val="24"/>
          <w:highlight w:val="yellow"/>
          <w:lang w:val="uk-UA"/>
        </w:rPr>
      </w:pPr>
      <w:r w:rsidRPr="009E2812">
        <w:rPr>
          <w:sz w:val="24"/>
          <w:szCs w:val="24"/>
          <w:lang w:val="uk-UA"/>
        </w:rPr>
        <w:t>Як вбачається, витрати, пов’язані із здійсненням недержавного пенсійного забезпечення, не перевищують їх граничний розмір, встановлений Розпорядженням/Рішення/| Національної комісії з цінних паперів та фондового ринку/Національної комісії; що здійснює державне регулювання у сфері ринків фінансових послуг, від 04.12.12 р. за № 2541/1746 «Про затвердження Положення про граничний розмір витрат, пов'язаних із здійсненням недержавного пенсійного забезпечення».</w:t>
      </w:r>
    </w:p>
    <w:p w:rsidR="00B32EC0" w:rsidRPr="009E2812" w:rsidRDefault="00B32EC0" w:rsidP="002C7EC4">
      <w:pPr>
        <w:jc w:val="both"/>
        <w:rPr>
          <w:sz w:val="24"/>
          <w:szCs w:val="24"/>
          <w:lang w:val="uk-UA"/>
        </w:rPr>
      </w:pPr>
    </w:p>
    <w:p w:rsidR="00B32EC0" w:rsidRPr="009E2812" w:rsidRDefault="00B32EC0" w:rsidP="002C7EC4">
      <w:pPr>
        <w:jc w:val="both"/>
        <w:rPr>
          <w:sz w:val="24"/>
          <w:szCs w:val="24"/>
          <w:lang w:val="uk-UA"/>
        </w:rPr>
      </w:pPr>
    </w:p>
    <w:p w:rsidR="00B32EC0" w:rsidRPr="009E2812" w:rsidRDefault="00B32EC0" w:rsidP="00E75CA9">
      <w:pPr>
        <w:numPr>
          <w:ilvl w:val="2"/>
          <w:numId w:val="13"/>
        </w:numPr>
        <w:suppressAutoHyphens/>
        <w:ind w:left="1418" w:hanging="709"/>
        <w:rPr>
          <w:b/>
          <w:caps/>
          <w:sz w:val="24"/>
          <w:szCs w:val="24"/>
          <w:lang w:val="uk-UA" w:eastAsia="zh-CN"/>
        </w:rPr>
      </w:pPr>
      <w:r w:rsidRPr="009E2812">
        <w:rPr>
          <w:b/>
          <w:caps/>
          <w:sz w:val="24"/>
          <w:szCs w:val="24"/>
          <w:lang w:val="uk-UA" w:eastAsia="zh-CN"/>
        </w:rPr>
        <w:t>Чистий прибуток (непокритий збиток)</w:t>
      </w:r>
    </w:p>
    <w:p w:rsidR="00B32EC0" w:rsidRPr="009E2812" w:rsidRDefault="00B32EC0" w:rsidP="002C7EC4">
      <w:pPr>
        <w:suppressAutoHyphens/>
        <w:ind w:left="720"/>
        <w:jc w:val="both"/>
        <w:rPr>
          <w:sz w:val="24"/>
          <w:szCs w:val="24"/>
          <w:lang w:val="uk-UA"/>
        </w:rPr>
      </w:pPr>
    </w:p>
    <w:p w:rsidR="00B32EC0" w:rsidRPr="009E2812" w:rsidRDefault="00B32EC0" w:rsidP="002C7EC4">
      <w:pPr>
        <w:suppressAutoHyphens/>
        <w:ind w:left="720"/>
        <w:jc w:val="both"/>
        <w:rPr>
          <w:sz w:val="24"/>
          <w:szCs w:val="24"/>
          <w:lang w:val="uk-UA"/>
        </w:rPr>
      </w:pPr>
      <w:r w:rsidRPr="009E2812">
        <w:rPr>
          <w:sz w:val="24"/>
          <w:szCs w:val="24"/>
          <w:lang w:val="uk-UA"/>
        </w:rPr>
        <w:t xml:space="preserve">За результатами фінансово-господарської діяльності за 2014 рік Фондом отриманий прибуток у розмірі 5 133 тис. грн. </w:t>
      </w:r>
    </w:p>
    <w:p w:rsidR="00B32EC0" w:rsidRPr="009E2812" w:rsidRDefault="00B32EC0" w:rsidP="002C7EC4">
      <w:pPr>
        <w:suppressAutoHyphens/>
        <w:ind w:left="720"/>
        <w:jc w:val="both"/>
        <w:rPr>
          <w:sz w:val="24"/>
          <w:szCs w:val="24"/>
          <w:lang w:val="uk-UA"/>
        </w:rPr>
      </w:pPr>
    </w:p>
    <w:p w:rsidR="00B32EC0" w:rsidRPr="009E2812" w:rsidRDefault="00B32EC0" w:rsidP="002C7EC4">
      <w:pPr>
        <w:suppressAutoHyphens/>
        <w:ind w:left="720"/>
        <w:jc w:val="both"/>
        <w:rPr>
          <w:sz w:val="24"/>
          <w:szCs w:val="24"/>
          <w:lang w:val="uk-UA"/>
        </w:rPr>
      </w:pPr>
      <w:r w:rsidRPr="009E2812">
        <w:rPr>
          <w:sz w:val="24"/>
          <w:szCs w:val="24"/>
          <w:lang w:val="uk-UA"/>
        </w:rPr>
        <w:t>Методика визначення кінцевого результату діяльності в усіх суттєвих аспектах здійснена з урахуванням  положень Міжнародних стандартів фінансової звітності та Національного положення (стандарту) бухгалтерського обліку 1 «Загальні вимоги до фінансової звітності», затвердженого наказом МФУ № 73 від 07.02.2013 р.</w:t>
      </w:r>
    </w:p>
    <w:p w:rsidR="00B32EC0" w:rsidRPr="009E2812" w:rsidRDefault="00B32EC0" w:rsidP="002C7EC4">
      <w:pPr>
        <w:jc w:val="both"/>
        <w:rPr>
          <w:sz w:val="24"/>
          <w:szCs w:val="24"/>
          <w:lang w:val="uk-UA"/>
        </w:rPr>
      </w:pPr>
    </w:p>
    <w:p w:rsidR="00B32EC0" w:rsidRPr="009E2812" w:rsidRDefault="00B32EC0" w:rsidP="002C7EC4">
      <w:pPr>
        <w:pStyle w:val="BodyText"/>
        <w:tabs>
          <w:tab w:val="left" w:pos="0"/>
          <w:tab w:val="left" w:pos="709"/>
        </w:tabs>
        <w:rPr>
          <w:rFonts w:ascii="Times New Roman" w:hAnsi="Times New Roman"/>
          <w:b/>
          <w:i/>
          <w:szCs w:val="24"/>
          <w:lang w:val="uk-UA"/>
        </w:rPr>
      </w:pPr>
    </w:p>
    <w:p w:rsidR="00B32EC0" w:rsidRPr="009E2812" w:rsidRDefault="00B32EC0" w:rsidP="002C7EC4">
      <w:pPr>
        <w:numPr>
          <w:ilvl w:val="1"/>
          <w:numId w:val="13"/>
        </w:numPr>
        <w:suppressAutoHyphens/>
        <w:ind w:hanging="938"/>
        <w:jc w:val="both"/>
        <w:rPr>
          <w:b/>
          <w:i/>
          <w:caps/>
          <w:sz w:val="24"/>
          <w:szCs w:val="24"/>
          <w:lang w:val="uk-UA"/>
        </w:rPr>
      </w:pPr>
      <w:r w:rsidRPr="009E2812">
        <w:rPr>
          <w:b/>
          <w:i/>
          <w:caps/>
          <w:sz w:val="24"/>
          <w:szCs w:val="24"/>
          <w:lang w:val="uk-UA"/>
        </w:rPr>
        <w:t xml:space="preserve">Вартість чистих активів </w:t>
      </w:r>
    </w:p>
    <w:p w:rsidR="00B32EC0" w:rsidRPr="009E2812" w:rsidRDefault="00B32EC0" w:rsidP="002C7EC4">
      <w:pPr>
        <w:rPr>
          <w:sz w:val="24"/>
          <w:szCs w:val="24"/>
          <w:lang w:val="uk-UA"/>
        </w:rPr>
      </w:pPr>
    </w:p>
    <w:p w:rsidR="00B32EC0" w:rsidRPr="009E2812" w:rsidRDefault="00B32EC0" w:rsidP="002C7EC4">
      <w:pPr>
        <w:suppressAutoHyphens/>
        <w:ind w:left="720"/>
        <w:jc w:val="both"/>
        <w:rPr>
          <w:sz w:val="24"/>
          <w:szCs w:val="24"/>
          <w:lang w:val="uk-UA"/>
        </w:rPr>
      </w:pPr>
      <w:r w:rsidRPr="009E2812">
        <w:rPr>
          <w:sz w:val="24"/>
          <w:szCs w:val="24"/>
          <w:lang w:val="uk-UA"/>
        </w:rPr>
        <w:t>Вартість чистих активів Фонду станом на 31.12.2014 р. склала 45 212 тис. грн.</w:t>
      </w:r>
    </w:p>
    <w:p w:rsidR="00B32EC0" w:rsidRPr="009E2812" w:rsidRDefault="00B32EC0" w:rsidP="002C7EC4">
      <w:pPr>
        <w:pStyle w:val="BodyText"/>
        <w:tabs>
          <w:tab w:val="left" w:pos="0"/>
          <w:tab w:val="left" w:pos="709"/>
        </w:tabs>
        <w:rPr>
          <w:rFonts w:ascii="Times New Roman" w:hAnsi="Times New Roman"/>
          <w:szCs w:val="24"/>
          <w:lang w:val="uk-UA"/>
        </w:rPr>
      </w:pPr>
    </w:p>
    <w:p w:rsidR="00B32EC0" w:rsidRPr="009E2812" w:rsidRDefault="00B32EC0" w:rsidP="002C7EC4">
      <w:pPr>
        <w:suppressAutoHyphens/>
        <w:ind w:left="720"/>
        <w:jc w:val="both"/>
        <w:rPr>
          <w:sz w:val="24"/>
          <w:szCs w:val="24"/>
          <w:lang w:val="uk-UA"/>
        </w:rPr>
      </w:pPr>
      <w:r w:rsidRPr="009E2812">
        <w:rPr>
          <w:sz w:val="24"/>
          <w:szCs w:val="24"/>
          <w:lang w:val="uk-UA"/>
        </w:rPr>
        <w:t xml:space="preserve">Розрахунок вартості чистих активів наведений в таблиці нижче: </w:t>
      </w:r>
    </w:p>
    <w:p w:rsidR="00B32EC0" w:rsidRPr="009E2812" w:rsidRDefault="00B32EC0" w:rsidP="002C7EC4">
      <w:pPr>
        <w:suppressAutoHyphens/>
        <w:ind w:left="720"/>
        <w:jc w:val="both"/>
        <w:rPr>
          <w:sz w:val="24"/>
          <w:szCs w:val="24"/>
          <w:lang w:val="uk-UA"/>
        </w:rPr>
      </w:pPr>
    </w:p>
    <w:tbl>
      <w:tblPr>
        <w:tblW w:w="8930" w:type="dxa"/>
        <w:tblInd w:w="817" w:type="dxa"/>
        <w:tblLook w:val="00A0"/>
      </w:tblPr>
      <w:tblGrid>
        <w:gridCol w:w="567"/>
        <w:gridCol w:w="4513"/>
        <w:gridCol w:w="920"/>
        <w:gridCol w:w="1526"/>
        <w:gridCol w:w="1404"/>
      </w:tblGrid>
      <w:tr w:rsidR="00B32EC0" w:rsidRPr="009E2812" w:rsidTr="00A43886">
        <w:trPr>
          <w:trHeight w:val="495"/>
          <w:tblHeader/>
        </w:trPr>
        <w:tc>
          <w:tcPr>
            <w:tcW w:w="567" w:type="dxa"/>
            <w:tcBorders>
              <w:top w:val="single" w:sz="4" w:space="0" w:color="auto"/>
              <w:left w:val="single" w:sz="4" w:space="0" w:color="auto"/>
              <w:bottom w:val="single" w:sz="4" w:space="0" w:color="auto"/>
              <w:right w:val="single" w:sz="4" w:space="0" w:color="auto"/>
            </w:tcBorders>
            <w:noWrap/>
            <w:vAlign w:val="center"/>
          </w:tcPr>
          <w:p w:rsidR="00B32EC0" w:rsidRPr="009E2812" w:rsidRDefault="00B32EC0" w:rsidP="002C7EC4">
            <w:pPr>
              <w:jc w:val="center"/>
              <w:rPr>
                <w:b/>
                <w:sz w:val="24"/>
                <w:szCs w:val="24"/>
                <w:lang w:val="uk-UA"/>
              </w:rPr>
            </w:pPr>
            <w:r w:rsidRPr="009E2812">
              <w:rPr>
                <w:b/>
                <w:sz w:val="24"/>
                <w:szCs w:val="24"/>
                <w:lang w:val="uk-UA"/>
              </w:rPr>
              <w:t> №</w:t>
            </w:r>
          </w:p>
        </w:tc>
        <w:tc>
          <w:tcPr>
            <w:tcW w:w="4513"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b/>
                <w:bCs/>
                <w:sz w:val="24"/>
                <w:szCs w:val="24"/>
                <w:lang w:val="uk-UA"/>
              </w:rPr>
            </w:pPr>
            <w:r w:rsidRPr="009E2812">
              <w:rPr>
                <w:b/>
                <w:bCs/>
                <w:sz w:val="24"/>
                <w:szCs w:val="24"/>
                <w:lang w:val="uk-UA"/>
              </w:rPr>
              <w:t>Найменування статті </w:t>
            </w:r>
          </w:p>
        </w:tc>
        <w:tc>
          <w:tcPr>
            <w:tcW w:w="920"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b/>
                <w:bCs/>
                <w:sz w:val="24"/>
                <w:szCs w:val="24"/>
                <w:lang w:val="uk-UA"/>
              </w:rPr>
            </w:pPr>
            <w:r w:rsidRPr="009E2812">
              <w:rPr>
                <w:b/>
                <w:bCs/>
                <w:sz w:val="24"/>
                <w:szCs w:val="24"/>
                <w:lang w:val="uk-UA"/>
              </w:rPr>
              <w:t>Код рядка </w:t>
            </w:r>
          </w:p>
        </w:tc>
        <w:tc>
          <w:tcPr>
            <w:tcW w:w="1526" w:type="dxa"/>
            <w:tcBorders>
              <w:top w:val="single" w:sz="4" w:space="0" w:color="auto"/>
              <w:left w:val="nil"/>
              <w:bottom w:val="single" w:sz="4" w:space="0" w:color="auto"/>
              <w:right w:val="single" w:sz="4" w:space="0" w:color="auto"/>
            </w:tcBorders>
            <w:vAlign w:val="center"/>
          </w:tcPr>
          <w:p w:rsidR="00B32EC0" w:rsidRPr="009E2812" w:rsidRDefault="00B32EC0" w:rsidP="002C7EC4">
            <w:pPr>
              <w:ind w:right="-108"/>
              <w:jc w:val="center"/>
              <w:rPr>
                <w:b/>
                <w:bCs/>
                <w:sz w:val="24"/>
                <w:szCs w:val="24"/>
                <w:lang w:val="uk-UA"/>
              </w:rPr>
            </w:pPr>
            <w:r w:rsidRPr="009E2812">
              <w:rPr>
                <w:b/>
                <w:bCs/>
                <w:sz w:val="24"/>
                <w:szCs w:val="24"/>
                <w:lang w:val="uk-UA"/>
              </w:rPr>
              <w:t>За даними балансу 31.12.13р.</w:t>
            </w:r>
          </w:p>
        </w:tc>
        <w:tc>
          <w:tcPr>
            <w:tcW w:w="1404" w:type="dxa"/>
            <w:tcBorders>
              <w:top w:val="single" w:sz="4" w:space="0" w:color="auto"/>
              <w:left w:val="nil"/>
              <w:bottom w:val="single" w:sz="4" w:space="0" w:color="auto"/>
              <w:right w:val="single" w:sz="4" w:space="0" w:color="auto"/>
            </w:tcBorders>
            <w:vAlign w:val="center"/>
          </w:tcPr>
          <w:p w:rsidR="00B32EC0" w:rsidRPr="009E2812" w:rsidRDefault="00B32EC0" w:rsidP="002C7EC4">
            <w:pPr>
              <w:ind w:right="-108"/>
              <w:jc w:val="center"/>
              <w:rPr>
                <w:b/>
                <w:bCs/>
                <w:sz w:val="24"/>
                <w:szCs w:val="24"/>
                <w:lang w:val="uk-UA"/>
              </w:rPr>
            </w:pPr>
            <w:r w:rsidRPr="009E2812">
              <w:rPr>
                <w:b/>
                <w:bCs/>
                <w:sz w:val="24"/>
                <w:szCs w:val="24"/>
                <w:lang w:val="uk-UA"/>
              </w:rPr>
              <w:t>За даними балансу на 31.12.14р.</w:t>
            </w:r>
          </w:p>
        </w:tc>
      </w:tr>
      <w:tr w:rsidR="00B32EC0" w:rsidRPr="009E2812" w:rsidTr="002C7EC4">
        <w:trPr>
          <w:trHeight w:val="255"/>
        </w:trPr>
        <w:tc>
          <w:tcPr>
            <w:tcW w:w="567" w:type="dxa"/>
            <w:tcBorders>
              <w:top w:val="nil"/>
              <w:left w:val="single" w:sz="4" w:space="0" w:color="auto"/>
              <w:bottom w:val="nil"/>
              <w:right w:val="single" w:sz="4" w:space="0" w:color="auto"/>
            </w:tcBorders>
            <w:noWrap/>
            <w:vAlign w:val="center"/>
          </w:tcPr>
          <w:p w:rsidR="00B32EC0" w:rsidRPr="009E2812" w:rsidRDefault="00B32EC0" w:rsidP="002C7EC4">
            <w:pPr>
              <w:jc w:val="center"/>
              <w:rPr>
                <w:b/>
                <w:bCs/>
                <w:sz w:val="24"/>
                <w:szCs w:val="24"/>
                <w:lang w:val="uk-UA"/>
              </w:rPr>
            </w:pPr>
            <w:r w:rsidRPr="009E2812">
              <w:rPr>
                <w:b/>
                <w:bCs/>
                <w:sz w:val="24"/>
                <w:szCs w:val="24"/>
                <w:lang w:val="uk-UA"/>
              </w:rPr>
              <w:t>1</w:t>
            </w:r>
          </w:p>
        </w:tc>
        <w:tc>
          <w:tcPr>
            <w:tcW w:w="8363" w:type="dxa"/>
            <w:gridSpan w:val="4"/>
            <w:tcBorders>
              <w:top w:val="nil"/>
              <w:left w:val="nil"/>
              <w:bottom w:val="single" w:sz="4" w:space="0" w:color="auto"/>
              <w:right w:val="single" w:sz="4" w:space="0" w:color="auto"/>
            </w:tcBorders>
            <w:vAlign w:val="center"/>
          </w:tcPr>
          <w:p w:rsidR="00B32EC0" w:rsidRPr="009E2812" w:rsidRDefault="00B32EC0" w:rsidP="002C7EC4">
            <w:pPr>
              <w:ind w:hanging="511"/>
              <w:jc w:val="center"/>
              <w:rPr>
                <w:b/>
                <w:bCs/>
                <w:i/>
                <w:iCs/>
                <w:sz w:val="24"/>
                <w:szCs w:val="24"/>
                <w:lang w:val="uk-UA"/>
              </w:rPr>
            </w:pPr>
            <w:r w:rsidRPr="009E2812">
              <w:rPr>
                <w:b/>
                <w:bCs/>
                <w:iCs/>
                <w:sz w:val="24"/>
                <w:szCs w:val="24"/>
                <w:lang w:val="uk-UA"/>
              </w:rPr>
              <w:t>АКТИВИ</w:t>
            </w:r>
            <w:r w:rsidRPr="009E2812">
              <w:rPr>
                <w:b/>
                <w:bCs/>
                <w:i/>
                <w:iCs/>
                <w:sz w:val="24"/>
                <w:szCs w:val="24"/>
                <w:lang w:val="uk-UA"/>
              </w:rPr>
              <w:t> </w:t>
            </w:r>
          </w:p>
        </w:tc>
      </w:tr>
      <w:tr w:rsidR="00B32EC0" w:rsidRPr="009E2812" w:rsidTr="002C7EC4">
        <w:trPr>
          <w:trHeight w:val="255"/>
        </w:trPr>
        <w:tc>
          <w:tcPr>
            <w:tcW w:w="567" w:type="dxa"/>
            <w:tcBorders>
              <w:top w:val="nil"/>
              <w:left w:val="single" w:sz="4" w:space="0" w:color="auto"/>
              <w:bottom w:val="nil"/>
              <w:right w:val="single" w:sz="4" w:space="0" w:color="auto"/>
            </w:tcBorders>
            <w:noWrap/>
            <w:vAlign w:val="center"/>
          </w:tcPr>
          <w:p w:rsidR="00B32EC0" w:rsidRPr="009E2812" w:rsidRDefault="00B32EC0" w:rsidP="002C7EC4">
            <w:pPr>
              <w:jc w:val="center"/>
              <w:rPr>
                <w:b/>
                <w:bCs/>
                <w:sz w:val="24"/>
                <w:szCs w:val="24"/>
                <w:lang w:val="uk-UA"/>
              </w:rPr>
            </w:pPr>
            <w:r w:rsidRPr="009E2812">
              <w:rPr>
                <w:b/>
                <w:bCs/>
                <w:sz w:val="24"/>
                <w:szCs w:val="24"/>
                <w:lang w:val="uk-UA"/>
              </w:rPr>
              <w:t> </w:t>
            </w:r>
          </w:p>
        </w:tc>
        <w:tc>
          <w:tcPr>
            <w:tcW w:w="4513" w:type="dxa"/>
            <w:tcBorders>
              <w:top w:val="single" w:sz="4" w:space="0" w:color="auto"/>
              <w:left w:val="nil"/>
              <w:bottom w:val="single" w:sz="4" w:space="0" w:color="auto"/>
              <w:right w:val="single" w:sz="4" w:space="0" w:color="auto"/>
            </w:tcBorders>
            <w:vAlign w:val="center"/>
          </w:tcPr>
          <w:p w:rsidR="00B32EC0" w:rsidRPr="009E2812" w:rsidRDefault="00B32EC0" w:rsidP="002C7EC4">
            <w:pPr>
              <w:rPr>
                <w:sz w:val="24"/>
                <w:szCs w:val="24"/>
                <w:lang w:val="uk-UA"/>
              </w:rPr>
            </w:pPr>
            <w:r w:rsidRPr="009E2812">
              <w:rPr>
                <w:sz w:val="24"/>
                <w:szCs w:val="24"/>
                <w:lang w:val="uk-UA"/>
              </w:rPr>
              <w:t>Необоротні активи:</w:t>
            </w:r>
          </w:p>
        </w:tc>
        <w:tc>
          <w:tcPr>
            <w:tcW w:w="920"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sz w:val="24"/>
                <w:szCs w:val="24"/>
                <w:lang w:val="uk-UA"/>
              </w:rPr>
            </w:pPr>
          </w:p>
        </w:tc>
        <w:tc>
          <w:tcPr>
            <w:tcW w:w="1526"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sz w:val="24"/>
                <w:szCs w:val="24"/>
                <w:highlight w:val="yellow"/>
                <w:lang w:val="uk-UA"/>
              </w:rPr>
            </w:pPr>
          </w:p>
        </w:tc>
        <w:tc>
          <w:tcPr>
            <w:tcW w:w="1404"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sz w:val="24"/>
                <w:szCs w:val="24"/>
                <w:highlight w:val="yellow"/>
                <w:lang w:val="uk-UA"/>
              </w:rPr>
            </w:pPr>
          </w:p>
        </w:tc>
      </w:tr>
      <w:tr w:rsidR="00B32EC0" w:rsidRPr="009E2812" w:rsidTr="002C7EC4">
        <w:trPr>
          <w:trHeight w:val="255"/>
        </w:trPr>
        <w:tc>
          <w:tcPr>
            <w:tcW w:w="567" w:type="dxa"/>
            <w:tcBorders>
              <w:top w:val="nil"/>
              <w:left w:val="single" w:sz="4" w:space="0" w:color="auto"/>
              <w:bottom w:val="nil"/>
              <w:right w:val="single" w:sz="4" w:space="0" w:color="auto"/>
            </w:tcBorders>
            <w:noWrap/>
            <w:vAlign w:val="center"/>
          </w:tcPr>
          <w:p w:rsidR="00B32EC0" w:rsidRPr="009E2812" w:rsidRDefault="00B32EC0" w:rsidP="002C7EC4">
            <w:pPr>
              <w:jc w:val="center"/>
              <w:rPr>
                <w:b/>
                <w:bCs/>
                <w:sz w:val="24"/>
                <w:szCs w:val="24"/>
                <w:lang w:val="uk-UA"/>
              </w:rPr>
            </w:pPr>
          </w:p>
        </w:tc>
        <w:tc>
          <w:tcPr>
            <w:tcW w:w="4513" w:type="dxa"/>
            <w:tcBorders>
              <w:top w:val="single" w:sz="4" w:space="0" w:color="auto"/>
              <w:left w:val="nil"/>
              <w:bottom w:val="single" w:sz="4" w:space="0" w:color="auto"/>
              <w:right w:val="single" w:sz="4" w:space="0" w:color="auto"/>
            </w:tcBorders>
            <w:vAlign w:val="center"/>
          </w:tcPr>
          <w:p w:rsidR="00B32EC0" w:rsidRPr="009E2812" w:rsidRDefault="00B32EC0" w:rsidP="002C7EC4">
            <w:pPr>
              <w:rPr>
                <w:sz w:val="24"/>
                <w:szCs w:val="24"/>
                <w:lang w:val="uk-UA"/>
              </w:rPr>
            </w:pPr>
            <w:r w:rsidRPr="009E2812">
              <w:rPr>
                <w:sz w:val="24"/>
                <w:szCs w:val="24"/>
                <w:lang w:val="uk-UA"/>
              </w:rPr>
              <w:t>Інвестиційна нерухомість</w:t>
            </w:r>
          </w:p>
        </w:tc>
        <w:tc>
          <w:tcPr>
            <w:tcW w:w="920" w:type="dxa"/>
            <w:tcBorders>
              <w:top w:val="single" w:sz="4" w:space="0" w:color="auto"/>
              <w:left w:val="nil"/>
              <w:bottom w:val="single" w:sz="4" w:space="0" w:color="auto"/>
              <w:right w:val="single" w:sz="4" w:space="0" w:color="auto"/>
            </w:tcBorders>
            <w:vAlign w:val="center"/>
          </w:tcPr>
          <w:p w:rsidR="00B32EC0" w:rsidRPr="009E2812" w:rsidRDefault="00B32EC0" w:rsidP="00812998">
            <w:pPr>
              <w:jc w:val="center"/>
              <w:rPr>
                <w:sz w:val="24"/>
                <w:szCs w:val="24"/>
                <w:lang w:val="uk-UA"/>
              </w:rPr>
            </w:pPr>
            <w:r w:rsidRPr="009E2812">
              <w:rPr>
                <w:sz w:val="24"/>
                <w:szCs w:val="24"/>
                <w:lang w:val="uk-UA"/>
              </w:rPr>
              <w:t>1015</w:t>
            </w:r>
          </w:p>
        </w:tc>
        <w:tc>
          <w:tcPr>
            <w:tcW w:w="1526"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sz w:val="24"/>
                <w:szCs w:val="24"/>
                <w:lang w:val="uk-UA"/>
              </w:rPr>
            </w:pPr>
            <w:r w:rsidRPr="009E2812">
              <w:rPr>
                <w:sz w:val="24"/>
                <w:szCs w:val="24"/>
                <w:lang w:val="uk-UA"/>
              </w:rPr>
              <w:t>366</w:t>
            </w:r>
          </w:p>
        </w:tc>
        <w:tc>
          <w:tcPr>
            <w:tcW w:w="1404"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sz w:val="24"/>
                <w:szCs w:val="24"/>
                <w:lang w:val="uk-UA"/>
              </w:rPr>
            </w:pPr>
            <w:r w:rsidRPr="009E2812">
              <w:rPr>
                <w:sz w:val="24"/>
                <w:szCs w:val="24"/>
                <w:lang w:val="uk-UA"/>
              </w:rPr>
              <w:t>366</w:t>
            </w:r>
          </w:p>
        </w:tc>
      </w:tr>
      <w:tr w:rsidR="00B32EC0" w:rsidRPr="009E2812" w:rsidTr="002C7EC4">
        <w:trPr>
          <w:trHeight w:val="255"/>
        </w:trPr>
        <w:tc>
          <w:tcPr>
            <w:tcW w:w="567" w:type="dxa"/>
            <w:tcBorders>
              <w:top w:val="nil"/>
              <w:left w:val="single" w:sz="4" w:space="0" w:color="auto"/>
              <w:bottom w:val="nil"/>
              <w:right w:val="single" w:sz="4" w:space="0" w:color="auto"/>
            </w:tcBorders>
            <w:noWrap/>
            <w:vAlign w:val="center"/>
          </w:tcPr>
          <w:p w:rsidR="00B32EC0" w:rsidRPr="009E2812" w:rsidRDefault="00B32EC0" w:rsidP="002C7EC4">
            <w:pPr>
              <w:jc w:val="center"/>
              <w:rPr>
                <w:b/>
                <w:bCs/>
                <w:sz w:val="24"/>
                <w:szCs w:val="24"/>
                <w:lang w:val="uk-UA"/>
              </w:rPr>
            </w:pPr>
          </w:p>
        </w:tc>
        <w:tc>
          <w:tcPr>
            <w:tcW w:w="4513" w:type="dxa"/>
            <w:tcBorders>
              <w:top w:val="single" w:sz="4" w:space="0" w:color="auto"/>
              <w:left w:val="nil"/>
              <w:bottom w:val="single" w:sz="4" w:space="0" w:color="auto"/>
              <w:right w:val="single" w:sz="4" w:space="0" w:color="auto"/>
            </w:tcBorders>
            <w:vAlign w:val="center"/>
          </w:tcPr>
          <w:p w:rsidR="00B32EC0" w:rsidRPr="009E2812" w:rsidRDefault="00B32EC0" w:rsidP="002C7EC4">
            <w:pPr>
              <w:rPr>
                <w:sz w:val="24"/>
                <w:szCs w:val="24"/>
                <w:lang w:val="uk-UA"/>
              </w:rPr>
            </w:pPr>
            <w:r w:rsidRPr="009E2812">
              <w:rPr>
                <w:sz w:val="24"/>
                <w:szCs w:val="24"/>
                <w:lang w:val="uk-UA"/>
              </w:rPr>
              <w:t>Довгострокові фінансові інвестиції: інші фінансові інвестиції </w:t>
            </w:r>
          </w:p>
        </w:tc>
        <w:tc>
          <w:tcPr>
            <w:tcW w:w="920"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sz w:val="24"/>
                <w:szCs w:val="24"/>
                <w:lang w:val="uk-UA"/>
              </w:rPr>
            </w:pPr>
            <w:r w:rsidRPr="009E2812">
              <w:rPr>
                <w:sz w:val="24"/>
                <w:szCs w:val="24"/>
                <w:lang w:val="uk-UA"/>
              </w:rPr>
              <w:t>1035 </w:t>
            </w:r>
          </w:p>
        </w:tc>
        <w:tc>
          <w:tcPr>
            <w:tcW w:w="1526"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sz w:val="24"/>
                <w:szCs w:val="24"/>
                <w:lang w:val="uk-UA"/>
              </w:rPr>
            </w:pPr>
            <w:r w:rsidRPr="009E2812">
              <w:rPr>
                <w:sz w:val="24"/>
                <w:szCs w:val="24"/>
                <w:lang w:val="uk-UA"/>
              </w:rPr>
              <w:t>15 058</w:t>
            </w:r>
          </w:p>
        </w:tc>
        <w:tc>
          <w:tcPr>
            <w:tcW w:w="1404"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sz w:val="24"/>
                <w:szCs w:val="24"/>
                <w:lang w:val="uk-UA"/>
              </w:rPr>
            </w:pPr>
            <w:r w:rsidRPr="009E2812">
              <w:rPr>
                <w:sz w:val="24"/>
                <w:szCs w:val="24"/>
                <w:lang w:val="uk-UA"/>
              </w:rPr>
              <w:t>26 376</w:t>
            </w:r>
          </w:p>
        </w:tc>
      </w:tr>
      <w:tr w:rsidR="00B32EC0" w:rsidRPr="009E2812" w:rsidTr="002C7EC4">
        <w:trPr>
          <w:trHeight w:val="255"/>
        </w:trPr>
        <w:tc>
          <w:tcPr>
            <w:tcW w:w="567" w:type="dxa"/>
            <w:tcBorders>
              <w:top w:val="nil"/>
              <w:left w:val="single" w:sz="4" w:space="0" w:color="auto"/>
              <w:bottom w:val="nil"/>
              <w:right w:val="single" w:sz="4" w:space="0" w:color="auto"/>
            </w:tcBorders>
            <w:noWrap/>
            <w:vAlign w:val="center"/>
          </w:tcPr>
          <w:p w:rsidR="00B32EC0" w:rsidRPr="009E2812" w:rsidRDefault="00B32EC0" w:rsidP="002C7EC4">
            <w:pPr>
              <w:jc w:val="center"/>
              <w:rPr>
                <w:b/>
                <w:bCs/>
                <w:sz w:val="24"/>
                <w:szCs w:val="24"/>
                <w:lang w:val="uk-UA"/>
              </w:rPr>
            </w:pPr>
          </w:p>
        </w:tc>
        <w:tc>
          <w:tcPr>
            <w:tcW w:w="4513" w:type="dxa"/>
            <w:tcBorders>
              <w:top w:val="single" w:sz="4" w:space="0" w:color="auto"/>
              <w:left w:val="nil"/>
              <w:bottom w:val="single" w:sz="4" w:space="0" w:color="auto"/>
              <w:right w:val="single" w:sz="4" w:space="0" w:color="auto"/>
            </w:tcBorders>
            <w:vAlign w:val="center"/>
          </w:tcPr>
          <w:p w:rsidR="00B32EC0" w:rsidRPr="009E2812" w:rsidRDefault="00B32EC0" w:rsidP="002C7EC4">
            <w:pPr>
              <w:rPr>
                <w:sz w:val="24"/>
                <w:szCs w:val="24"/>
                <w:lang w:val="uk-UA"/>
              </w:rPr>
            </w:pPr>
            <w:r w:rsidRPr="009E2812">
              <w:rPr>
                <w:sz w:val="24"/>
                <w:szCs w:val="24"/>
                <w:lang w:val="uk-UA"/>
              </w:rPr>
              <w:t>Оборотні активи:</w:t>
            </w:r>
          </w:p>
        </w:tc>
        <w:tc>
          <w:tcPr>
            <w:tcW w:w="920"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sz w:val="24"/>
                <w:szCs w:val="24"/>
                <w:lang w:val="uk-UA"/>
              </w:rPr>
            </w:pPr>
          </w:p>
        </w:tc>
        <w:tc>
          <w:tcPr>
            <w:tcW w:w="1526"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sz w:val="24"/>
                <w:szCs w:val="24"/>
                <w:lang w:val="uk-UA"/>
              </w:rPr>
            </w:pPr>
          </w:p>
        </w:tc>
        <w:tc>
          <w:tcPr>
            <w:tcW w:w="1404"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sz w:val="24"/>
                <w:szCs w:val="24"/>
                <w:lang w:val="uk-UA"/>
              </w:rPr>
            </w:pPr>
          </w:p>
        </w:tc>
      </w:tr>
      <w:tr w:rsidR="00B32EC0" w:rsidRPr="009E2812" w:rsidTr="002C7EC4">
        <w:trPr>
          <w:trHeight w:val="255"/>
        </w:trPr>
        <w:tc>
          <w:tcPr>
            <w:tcW w:w="567" w:type="dxa"/>
            <w:tcBorders>
              <w:top w:val="nil"/>
              <w:left w:val="single" w:sz="4" w:space="0" w:color="auto"/>
              <w:bottom w:val="nil"/>
              <w:right w:val="single" w:sz="4" w:space="0" w:color="auto"/>
            </w:tcBorders>
            <w:noWrap/>
            <w:vAlign w:val="center"/>
          </w:tcPr>
          <w:p w:rsidR="00B32EC0" w:rsidRPr="009E2812" w:rsidRDefault="00B32EC0" w:rsidP="002C7EC4">
            <w:pPr>
              <w:jc w:val="center"/>
              <w:rPr>
                <w:b/>
                <w:bCs/>
                <w:sz w:val="24"/>
                <w:szCs w:val="24"/>
                <w:lang w:val="uk-UA"/>
              </w:rPr>
            </w:pPr>
            <w:r w:rsidRPr="009E2812">
              <w:rPr>
                <w:b/>
                <w:bCs/>
                <w:sz w:val="24"/>
                <w:szCs w:val="24"/>
                <w:lang w:val="uk-UA"/>
              </w:rPr>
              <w:t> </w:t>
            </w:r>
          </w:p>
        </w:tc>
        <w:tc>
          <w:tcPr>
            <w:tcW w:w="4513" w:type="dxa"/>
            <w:tcBorders>
              <w:top w:val="single" w:sz="4" w:space="0" w:color="auto"/>
              <w:left w:val="nil"/>
              <w:bottom w:val="single" w:sz="4" w:space="0" w:color="auto"/>
              <w:right w:val="single" w:sz="4" w:space="0" w:color="auto"/>
            </w:tcBorders>
            <w:vAlign w:val="center"/>
          </w:tcPr>
          <w:p w:rsidR="00B32EC0" w:rsidRPr="009E2812" w:rsidRDefault="00B32EC0" w:rsidP="002C7EC4">
            <w:pPr>
              <w:rPr>
                <w:sz w:val="24"/>
                <w:szCs w:val="24"/>
                <w:lang w:val="uk-UA"/>
              </w:rPr>
            </w:pPr>
            <w:r w:rsidRPr="009E2812">
              <w:rPr>
                <w:sz w:val="24"/>
                <w:szCs w:val="24"/>
                <w:lang w:val="uk-UA"/>
              </w:rPr>
              <w:t>Дебіторська заборгованість за розрахунками: з нарахованих доходів </w:t>
            </w:r>
          </w:p>
        </w:tc>
        <w:tc>
          <w:tcPr>
            <w:tcW w:w="920"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sz w:val="24"/>
                <w:szCs w:val="24"/>
                <w:lang w:val="uk-UA"/>
              </w:rPr>
            </w:pPr>
            <w:r w:rsidRPr="009E2812">
              <w:rPr>
                <w:sz w:val="24"/>
                <w:szCs w:val="24"/>
                <w:lang w:val="uk-UA"/>
              </w:rPr>
              <w:t>1140 </w:t>
            </w:r>
          </w:p>
        </w:tc>
        <w:tc>
          <w:tcPr>
            <w:tcW w:w="1526"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sz w:val="24"/>
                <w:szCs w:val="24"/>
                <w:lang w:val="uk-UA"/>
              </w:rPr>
            </w:pPr>
            <w:r w:rsidRPr="009E2812">
              <w:rPr>
                <w:sz w:val="24"/>
                <w:szCs w:val="24"/>
                <w:lang w:val="uk-UA"/>
              </w:rPr>
              <w:t>279</w:t>
            </w:r>
          </w:p>
        </w:tc>
        <w:tc>
          <w:tcPr>
            <w:tcW w:w="1404" w:type="dxa"/>
            <w:tcBorders>
              <w:top w:val="single" w:sz="4" w:space="0" w:color="auto"/>
              <w:left w:val="nil"/>
              <w:bottom w:val="single" w:sz="4" w:space="0" w:color="auto"/>
              <w:right w:val="single" w:sz="4" w:space="0" w:color="auto"/>
            </w:tcBorders>
            <w:vAlign w:val="center"/>
          </w:tcPr>
          <w:p w:rsidR="00B32EC0" w:rsidRPr="00A43886" w:rsidRDefault="00B32EC0" w:rsidP="002C7EC4">
            <w:pPr>
              <w:jc w:val="center"/>
              <w:rPr>
                <w:sz w:val="24"/>
                <w:szCs w:val="24"/>
                <w:lang w:val="uk-UA"/>
              </w:rPr>
            </w:pPr>
            <w:r w:rsidRPr="00A43886">
              <w:rPr>
                <w:sz w:val="24"/>
                <w:szCs w:val="24"/>
                <w:lang w:val="uk-UA"/>
              </w:rPr>
              <w:t>235</w:t>
            </w:r>
          </w:p>
        </w:tc>
      </w:tr>
      <w:tr w:rsidR="00B32EC0" w:rsidRPr="009E2812" w:rsidTr="002C7EC4">
        <w:trPr>
          <w:trHeight w:val="255"/>
        </w:trPr>
        <w:tc>
          <w:tcPr>
            <w:tcW w:w="567" w:type="dxa"/>
            <w:tcBorders>
              <w:top w:val="nil"/>
              <w:left w:val="single" w:sz="4" w:space="0" w:color="auto"/>
              <w:bottom w:val="nil"/>
              <w:right w:val="single" w:sz="4" w:space="0" w:color="auto"/>
            </w:tcBorders>
            <w:noWrap/>
            <w:vAlign w:val="center"/>
          </w:tcPr>
          <w:p w:rsidR="00B32EC0" w:rsidRPr="009E2812" w:rsidRDefault="00B32EC0" w:rsidP="002C7EC4">
            <w:pPr>
              <w:jc w:val="center"/>
              <w:rPr>
                <w:b/>
                <w:bCs/>
                <w:sz w:val="24"/>
                <w:szCs w:val="24"/>
                <w:lang w:val="uk-UA"/>
              </w:rPr>
            </w:pPr>
          </w:p>
        </w:tc>
        <w:tc>
          <w:tcPr>
            <w:tcW w:w="4513" w:type="dxa"/>
            <w:tcBorders>
              <w:top w:val="single" w:sz="4" w:space="0" w:color="auto"/>
              <w:left w:val="nil"/>
              <w:bottom w:val="single" w:sz="4" w:space="0" w:color="auto"/>
              <w:right w:val="single" w:sz="4" w:space="0" w:color="auto"/>
            </w:tcBorders>
            <w:vAlign w:val="center"/>
          </w:tcPr>
          <w:p w:rsidR="00B32EC0" w:rsidRPr="00A43886" w:rsidRDefault="00B32EC0" w:rsidP="005B2AD2">
            <w:pPr>
              <w:rPr>
                <w:sz w:val="24"/>
                <w:szCs w:val="24"/>
                <w:lang w:val="uk-UA"/>
              </w:rPr>
            </w:pPr>
            <w:r w:rsidRPr="00A43886">
              <w:rPr>
                <w:sz w:val="24"/>
                <w:szCs w:val="24"/>
                <w:lang w:val="uk-UA"/>
              </w:rPr>
              <w:t>Інша поточна дебіторська заборгованість</w:t>
            </w:r>
          </w:p>
        </w:tc>
        <w:tc>
          <w:tcPr>
            <w:tcW w:w="920" w:type="dxa"/>
            <w:tcBorders>
              <w:top w:val="single" w:sz="4" w:space="0" w:color="auto"/>
              <w:left w:val="nil"/>
              <w:bottom w:val="single" w:sz="4" w:space="0" w:color="auto"/>
              <w:right w:val="single" w:sz="4" w:space="0" w:color="auto"/>
            </w:tcBorders>
            <w:vAlign w:val="center"/>
          </w:tcPr>
          <w:p w:rsidR="00B32EC0" w:rsidRPr="00A43886" w:rsidRDefault="00B32EC0" w:rsidP="005B2AD2">
            <w:pPr>
              <w:jc w:val="center"/>
              <w:rPr>
                <w:sz w:val="24"/>
                <w:szCs w:val="24"/>
                <w:lang w:val="uk-UA"/>
              </w:rPr>
            </w:pPr>
            <w:r w:rsidRPr="00A43886">
              <w:rPr>
                <w:sz w:val="24"/>
                <w:szCs w:val="24"/>
                <w:lang w:val="uk-UA"/>
              </w:rPr>
              <w:t>1155</w:t>
            </w:r>
          </w:p>
        </w:tc>
        <w:tc>
          <w:tcPr>
            <w:tcW w:w="1526" w:type="dxa"/>
            <w:tcBorders>
              <w:top w:val="single" w:sz="4" w:space="0" w:color="auto"/>
              <w:left w:val="nil"/>
              <w:bottom w:val="single" w:sz="4" w:space="0" w:color="auto"/>
              <w:right w:val="single" w:sz="4" w:space="0" w:color="auto"/>
            </w:tcBorders>
            <w:vAlign w:val="center"/>
          </w:tcPr>
          <w:p w:rsidR="00B32EC0" w:rsidRPr="00A43886" w:rsidRDefault="00B32EC0" w:rsidP="005B2AD2">
            <w:pPr>
              <w:jc w:val="center"/>
              <w:rPr>
                <w:sz w:val="24"/>
                <w:szCs w:val="24"/>
                <w:lang w:val="uk-UA"/>
              </w:rPr>
            </w:pPr>
          </w:p>
        </w:tc>
        <w:tc>
          <w:tcPr>
            <w:tcW w:w="1404" w:type="dxa"/>
            <w:tcBorders>
              <w:top w:val="single" w:sz="4" w:space="0" w:color="auto"/>
              <w:left w:val="nil"/>
              <w:bottom w:val="single" w:sz="4" w:space="0" w:color="auto"/>
              <w:right w:val="single" w:sz="4" w:space="0" w:color="auto"/>
            </w:tcBorders>
            <w:vAlign w:val="center"/>
          </w:tcPr>
          <w:p w:rsidR="00B32EC0" w:rsidRPr="00A43886" w:rsidRDefault="00B32EC0" w:rsidP="005B2AD2">
            <w:pPr>
              <w:jc w:val="center"/>
              <w:rPr>
                <w:sz w:val="24"/>
                <w:szCs w:val="24"/>
                <w:lang w:val="uk-UA"/>
              </w:rPr>
            </w:pPr>
            <w:r w:rsidRPr="00A43886">
              <w:rPr>
                <w:sz w:val="24"/>
                <w:szCs w:val="24"/>
                <w:lang w:val="uk-UA"/>
              </w:rPr>
              <w:t>2</w:t>
            </w:r>
          </w:p>
        </w:tc>
      </w:tr>
      <w:tr w:rsidR="00B32EC0" w:rsidRPr="009E2812" w:rsidTr="002C7EC4">
        <w:trPr>
          <w:trHeight w:val="255"/>
        </w:trPr>
        <w:tc>
          <w:tcPr>
            <w:tcW w:w="567" w:type="dxa"/>
            <w:tcBorders>
              <w:top w:val="nil"/>
              <w:left w:val="single" w:sz="4" w:space="0" w:color="auto"/>
              <w:bottom w:val="nil"/>
              <w:right w:val="single" w:sz="4" w:space="0" w:color="auto"/>
            </w:tcBorders>
            <w:noWrap/>
            <w:vAlign w:val="center"/>
          </w:tcPr>
          <w:p w:rsidR="00B32EC0" w:rsidRPr="009E2812" w:rsidRDefault="00B32EC0" w:rsidP="002C7EC4">
            <w:pPr>
              <w:jc w:val="center"/>
              <w:rPr>
                <w:b/>
                <w:bCs/>
                <w:sz w:val="24"/>
                <w:szCs w:val="24"/>
                <w:lang w:val="uk-UA"/>
              </w:rPr>
            </w:pPr>
            <w:r w:rsidRPr="009E2812">
              <w:rPr>
                <w:b/>
                <w:bCs/>
                <w:sz w:val="24"/>
                <w:szCs w:val="24"/>
                <w:lang w:val="uk-UA"/>
              </w:rPr>
              <w:t> </w:t>
            </w:r>
          </w:p>
        </w:tc>
        <w:tc>
          <w:tcPr>
            <w:tcW w:w="4513" w:type="dxa"/>
            <w:tcBorders>
              <w:top w:val="single" w:sz="4" w:space="0" w:color="auto"/>
              <w:left w:val="nil"/>
              <w:bottom w:val="single" w:sz="4" w:space="0" w:color="auto"/>
              <w:right w:val="single" w:sz="4" w:space="0" w:color="auto"/>
            </w:tcBorders>
            <w:vAlign w:val="center"/>
          </w:tcPr>
          <w:p w:rsidR="00B32EC0" w:rsidRPr="009E2812" w:rsidRDefault="00B32EC0" w:rsidP="002C7EC4">
            <w:pPr>
              <w:rPr>
                <w:sz w:val="24"/>
                <w:szCs w:val="24"/>
                <w:lang w:val="uk-UA"/>
              </w:rPr>
            </w:pPr>
            <w:r w:rsidRPr="009E2812">
              <w:rPr>
                <w:sz w:val="24"/>
                <w:szCs w:val="24"/>
                <w:lang w:val="uk-UA"/>
              </w:rPr>
              <w:t>Грошові кошти та їх еквіваленти: в національній валюті </w:t>
            </w:r>
          </w:p>
        </w:tc>
        <w:tc>
          <w:tcPr>
            <w:tcW w:w="920"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sz w:val="24"/>
                <w:szCs w:val="24"/>
                <w:lang w:val="uk-UA"/>
              </w:rPr>
            </w:pPr>
            <w:r w:rsidRPr="009E2812">
              <w:rPr>
                <w:sz w:val="24"/>
                <w:szCs w:val="24"/>
                <w:lang w:val="uk-UA"/>
              </w:rPr>
              <w:t>1165</w:t>
            </w:r>
          </w:p>
        </w:tc>
        <w:tc>
          <w:tcPr>
            <w:tcW w:w="1526"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sz w:val="24"/>
                <w:szCs w:val="24"/>
                <w:lang w:val="uk-UA"/>
              </w:rPr>
            </w:pPr>
            <w:r w:rsidRPr="009E2812">
              <w:rPr>
                <w:sz w:val="24"/>
                <w:szCs w:val="24"/>
                <w:lang w:val="uk-UA"/>
              </w:rPr>
              <w:t>16 607</w:t>
            </w:r>
          </w:p>
        </w:tc>
        <w:tc>
          <w:tcPr>
            <w:tcW w:w="1404"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sz w:val="24"/>
                <w:szCs w:val="24"/>
                <w:lang w:val="uk-UA"/>
              </w:rPr>
            </w:pPr>
            <w:r w:rsidRPr="009E2812">
              <w:rPr>
                <w:sz w:val="24"/>
                <w:szCs w:val="24"/>
                <w:lang w:val="uk-UA"/>
              </w:rPr>
              <w:t>18 389</w:t>
            </w:r>
          </w:p>
        </w:tc>
      </w:tr>
      <w:tr w:rsidR="00B32EC0" w:rsidRPr="009E2812" w:rsidTr="002C7EC4">
        <w:trPr>
          <w:trHeight w:val="255"/>
        </w:trPr>
        <w:tc>
          <w:tcPr>
            <w:tcW w:w="567" w:type="dxa"/>
            <w:tcBorders>
              <w:top w:val="nil"/>
              <w:left w:val="single" w:sz="4" w:space="0" w:color="auto"/>
              <w:bottom w:val="single" w:sz="4" w:space="0" w:color="auto"/>
              <w:right w:val="single" w:sz="4" w:space="0" w:color="auto"/>
            </w:tcBorders>
            <w:noWrap/>
            <w:vAlign w:val="center"/>
          </w:tcPr>
          <w:p w:rsidR="00B32EC0" w:rsidRPr="009E2812" w:rsidRDefault="00B32EC0" w:rsidP="002C7EC4">
            <w:pPr>
              <w:jc w:val="center"/>
              <w:rPr>
                <w:b/>
                <w:bCs/>
                <w:sz w:val="24"/>
                <w:szCs w:val="24"/>
                <w:lang w:val="uk-UA"/>
              </w:rPr>
            </w:pPr>
            <w:r w:rsidRPr="009E2812">
              <w:rPr>
                <w:b/>
                <w:bCs/>
                <w:sz w:val="24"/>
                <w:szCs w:val="24"/>
                <w:lang w:val="uk-UA"/>
              </w:rPr>
              <w:t> </w:t>
            </w:r>
          </w:p>
        </w:tc>
        <w:tc>
          <w:tcPr>
            <w:tcW w:w="5433" w:type="dxa"/>
            <w:gridSpan w:val="2"/>
            <w:tcBorders>
              <w:top w:val="nil"/>
              <w:left w:val="nil"/>
              <w:bottom w:val="single" w:sz="4" w:space="0" w:color="auto"/>
              <w:right w:val="single" w:sz="4" w:space="0" w:color="auto"/>
            </w:tcBorders>
            <w:vAlign w:val="center"/>
          </w:tcPr>
          <w:p w:rsidR="00B32EC0" w:rsidRPr="009E2812" w:rsidRDefault="00B32EC0" w:rsidP="002C7EC4">
            <w:pPr>
              <w:rPr>
                <w:b/>
                <w:bCs/>
                <w:i/>
                <w:iCs/>
                <w:sz w:val="24"/>
                <w:szCs w:val="24"/>
                <w:lang w:val="uk-UA"/>
              </w:rPr>
            </w:pPr>
            <w:r>
              <w:rPr>
                <w:b/>
                <w:bCs/>
                <w:i/>
                <w:iCs/>
                <w:sz w:val="24"/>
                <w:szCs w:val="24"/>
                <w:lang w:val="uk-UA"/>
              </w:rPr>
              <w:t>Активи, в</w:t>
            </w:r>
            <w:r w:rsidRPr="009E2812">
              <w:rPr>
                <w:b/>
                <w:bCs/>
                <w:i/>
                <w:iCs/>
                <w:sz w:val="24"/>
                <w:szCs w:val="24"/>
                <w:lang w:val="uk-UA"/>
              </w:rPr>
              <w:t>сього  </w:t>
            </w:r>
          </w:p>
        </w:tc>
        <w:tc>
          <w:tcPr>
            <w:tcW w:w="1526" w:type="dxa"/>
            <w:tcBorders>
              <w:top w:val="nil"/>
              <w:left w:val="nil"/>
              <w:bottom w:val="single" w:sz="4" w:space="0" w:color="auto"/>
              <w:right w:val="single" w:sz="4" w:space="0" w:color="auto"/>
            </w:tcBorders>
            <w:vAlign w:val="center"/>
          </w:tcPr>
          <w:p w:rsidR="00B32EC0" w:rsidRPr="009E2812" w:rsidRDefault="00B32EC0" w:rsidP="002C7EC4">
            <w:pPr>
              <w:jc w:val="center"/>
              <w:rPr>
                <w:b/>
                <w:bCs/>
                <w:i/>
                <w:iCs/>
                <w:sz w:val="24"/>
                <w:szCs w:val="24"/>
                <w:lang w:val="uk-UA"/>
              </w:rPr>
            </w:pPr>
            <w:r w:rsidRPr="009E2812">
              <w:rPr>
                <w:b/>
                <w:bCs/>
                <w:i/>
                <w:iCs/>
                <w:sz w:val="24"/>
                <w:szCs w:val="24"/>
                <w:lang w:val="uk-UA"/>
              </w:rPr>
              <w:t>32 310</w:t>
            </w:r>
          </w:p>
        </w:tc>
        <w:tc>
          <w:tcPr>
            <w:tcW w:w="1404" w:type="dxa"/>
            <w:tcBorders>
              <w:top w:val="nil"/>
              <w:left w:val="nil"/>
              <w:bottom w:val="single" w:sz="4" w:space="0" w:color="auto"/>
              <w:right w:val="single" w:sz="4" w:space="0" w:color="auto"/>
            </w:tcBorders>
            <w:vAlign w:val="center"/>
          </w:tcPr>
          <w:p w:rsidR="00B32EC0" w:rsidRPr="009E2812" w:rsidRDefault="00B32EC0" w:rsidP="002C7EC4">
            <w:pPr>
              <w:jc w:val="center"/>
              <w:rPr>
                <w:b/>
                <w:bCs/>
                <w:i/>
                <w:iCs/>
                <w:sz w:val="24"/>
                <w:szCs w:val="24"/>
                <w:lang w:val="uk-UA"/>
              </w:rPr>
            </w:pPr>
            <w:r w:rsidRPr="009E2812">
              <w:rPr>
                <w:b/>
                <w:bCs/>
                <w:i/>
                <w:iCs/>
                <w:sz w:val="24"/>
                <w:szCs w:val="24"/>
                <w:lang w:val="uk-UA"/>
              </w:rPr>
              <w:t>45 368</w:t>
            </w:r>
          </w:p>
        </w:tc>
      </w:tr>
      <w:tr w:rsidR="00B32EC0" w:rsidRPr="009E2812" w:rsidTr="002C7EC4">
        <w:trPr>
          <w:trHeight w:val="255"/>
        </w:trPr>
        <w:tc>
          <w:tcPr>
            <w:tcW w:w="567" w:type="dxa"/>
            <w:tcBorders>
              <w:top w:val="nil"/>
              <w:left w:val="single" w:sz="4" w:space="0" w:color="auto"/>
              <w:bottom w:val="nil"/>
              <w:right w:val="single" w:sz="4" w:space="0" w:color="auto"/>
            </w:tcBorders>
            <w:noWrap/>
            <w:vAlign w:val="center"/>
          </w:tcPr>
          <w:p w:rsidR="00B32EC0" w:rsidRPr="009E2812" w:rsidRDefault="00B32EC0" w:rsidP="002C7EC4">
            <w:pPr>
              <w:jc w:val="center"/>
              <w:rPr>
                <w:b/>
                <w:bCs/>
                <w:sz w:val="24"/>
                <w:szCs w:val="24"/>
                <w:lang w:val="uk-UA"/>
              </w:rPr>
            </w:pPr>
            <w:r w:rsidRPr="009E2812">
              <w:rPr>
                <w:b/>
                <w:bCs/>
                <w:sz w:val="24"/>
                <w:szCs w:val="24"/>
                <w:lang w:val="uk-UA"/>
              </w:rPr>
              <w:t>2</w:t>
            </w:r>
          </w:p>
        </w:tc>
        <w:tc>
          <w:tcPr>
            <w:tcW w:w="8363" w:type="dxa"/>
            <w:gridSpan w:val="4"/>
            <w:tcBorders>
              <w:top w:val="nil"/>
              <w:left w:val="nil"/>
              <w:bottom w:val="single" w:sz="4" w:space="0" w:color="auto"/>
              <w:right w:val="single" w:sz="4" w:space="0" w:color="auto"/>
            </w:tcBorders>
            <w:vAlign w:val="center"/>
          </w:tcPr>
          <w:p w:rsidR="00B32EC0" w:rsidRPr="009E2812" w:rsidRDefault="00B32EC0" w:rsidP="002C7EC4">
            <w:pPr>
              <w:ind w:hanging="511"/>
              <w:jc w:val="center"/>
              <w:rPr>
                <w:b/>
                <w:bCs/>
                <w:iCs/>
                <w:sz w:val="24"/>
                <w:szCs w:val="24"/>
                <w:lang w:val="uk-UA"/>
              </w:rPr>
            </w:pPr>
            <w:r w:rsidRPr="009E2812">
              <w:rPr>
                <w:b/>
                <w:bCs/>
                <w:iCs/>
                <w:sz w:val="24"/>
                <w:szCs w:val="24"/>
                <w:lang w:val="uk-UA"/>
              </w:rPr>
              <w:t>ЗОБОВ'ЯЗАННЯ</w:t>
            </w:r>
          </w:p>
        </w:tc>
      </w:tr>
      <w:tr w:rsidR="00B32EC0" w:rsidRPr="009E2812" w:rsidTr="002C7EC4">
        <w:trPr>
          <w:trHeight w:val="255"/>
        </w:trPr>
        <w:tc>
          <w:tcPr>
            <w:tcW w:w="567" w:type="dxa"/>
            <w:tcBorders>
              <w:top w:val="nil"/>
              <w:left w:val="single" w:sz="4" w:space="0" w:color="auto"/>
              <w:bottom w:val="nil"/>
              <w:right w:val="single" w:sz="4" w:space="0" w:color="auto"/>
            </w:tcBorders>
            <w:noWrap/>
            <w:vAlign w:val="center"/>
          </w:tcPr>
          <w:p w:rsidR="00B32EC0" w:rsidRPr="009E2812" w:rsidRDefault="00B32EC0" w:rsidP="002C7EC4">
            <w:pPr>
              <w:jc w:val="center"/>
              <w:rPr>
                <w:b/>
                <w:bCs/>
                <w:sz w:val="24"/>
                <w:szCs w:val="24"/>
                <w:lang w:val="uk-UA"/>
              </w:rPr>
            </w:pPr>
          </w:p>
        </w:tc>
        <w:tc>
          <w:tcPr>
            <w:tcW w:w="4513" w:type="dxa"/>
            <w:tcBorders>
              <w:top w:val="single" w:sz="4" w:space="0" w:color="auto"/>
              <w:left w:val="nil"/>
              <w:bottom w:val="single" w:sz="4" w:space="0" w:color="auto"/>
              <w:right w:val="single" w:sz="4" w:space="0" w:color="auto"/>
            </w:tcBorders>
            <w:vAlign w:val="center"/>
          </w:tcPr>
          <w:p w:rsidR="00B32EC0" w:rsidRPr="009E2812" w:rsidRDefault="00B32EC0" w:rsidP="002C7EC4">
            <w:pPr>
              <w:rPr>
                <w:sz w:val="24"/>
                <w:szCs w:val="24"/>
                <w:lang w:val="uk-UA"/>
              </w:rPr>
            </w:pPr>
            <w:r w:rsidRPr="009E2812">
              <w:rPr>
                <w:sz w:val="24"/>
                <w:szCs w:val="24"/>
                <w:lang w:val="uk-UA"/>
              </w:rPr>
              <w:t>Кредиторська заборгованість за товари, роботи, послуги</w:t>
            </w:r>
          </w:p>
        </w:tc>
        <w:tc>
          <w:tcPr>
            <w:tcW w:w="920"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sz w:val="24"/>
                <w:szCs w:val="24"/>
                <w:lang w:val="uk-UA"/>
              </w:rPr>
            </w:pPr>
            <w:r w:rsidRPr="009E2812">
              <w:rPr>
                <w:sz w:val="24"/>
                <w:szCs w:val="24"/>
                <w:lang w:val="uk-UA"/>
              </w:rPr>
              <w:t>1615</w:t>
            </w:r>
          </w:p>
        </w:tc>
        <w:tc>
          <w:tcPr>
            <w:tcW w:w="1526"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sz w:val="24"/>
                <w:szCs w:val="24"/>
                <w:lang w:val="uk-UA"/>
              </w:rPr>
            </w:pPr>
            <w:r w:rsidRPr="009E2812">
              <w:rPr>
                <w:sz w:val="24"/>
                <w:szCs w:val="24"/>
                <w:lang w:val="uk-UA"/>
              </w:rPr>
              <w:t>107</w:t>
            </w:r>
          </w:p>
        </w:tc>
        <w:tc>
          <w:tcPr>
            <w:tcW w:w="1404"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sz w:val="24"/>
                <w:szCs w:val="24"/>
                <w:lang w:val="uk-UA"/>
              </w:rPr>
            </w:pPr>
            <w:r w:rsidRPr="009E2812">
              <w:rPr>
                <w:sz w:val="24"/>
                <w:szCs w:val="24"/>
                <w:lang w:val="uk-UA"/>
              </w:rPr>
              <w:t>156</w:t>
            </w:r>
          </w:p>
        </w:tc>
      </w:tr>
      <w:tr w:rsidR="00B32EC0" w:rsidRPr="009E2812" w:rsidTr="002C7EC4">
        <w:trPr>
          <w:trHeight w:val="255"/>
        </w:trPr>
        <w:tc>
          <w:tcPr>
            <w:tcW w:w="567" w:type="dxa"/>
            <w:tcBorders>
              <w:top w:val="nil"/>
              <w:left w:val="single" w:sz="4" w:space="0" w:color="auto"/>
              <w:bottom w:val="nil"/>
              <w:right w:val="single" w:sz="4" w:space="0" w:color="auto"/>
            </w:tcBorders>
            <w:noWrap/>
            <w:vAlign w:val="center"/>
          </w:tcPr>
          <w:p w:rsidR="00B32EC0" w:rsidRPr="009E2812" w:rsidRDefault="00B32EC0" w:rsidP="002C7EC4">
            <w:pPr>
              <w:jc w:val="center"/>
              <w:rPr>
                <w:b/>
                <w:bCs/>
                <w:sz w:val="24"/>
                <w:szCs w:val="24"/>
                <w:lang w:val="uk-UA"/>
              </w:rPr>
            </w:pPr>
            <w:r w:rsidRPr="009E2812">
              <w:rPr>
                <w:b/>
                <w:bCs/>
                <w:sz w:val="24"/>
                <w:szCs w:val="24"/>
                <w:lang w:val="uk-UA"/>
              </w:rPr>
              <w:t> </w:t>
            </w:r>
          </w:p>
        </w:tc>
        <w:tc>
          <w:tcPr>
            <w:tcW w:w="5433" w:type="dxa"/>
            <w:gridSpan w:val="2"/>
            <w:tcBorders>
              <w:top w:val="nil"/>
              <w:left w:val="nil"/>
              <w:bottom w:val="nil"/>
              <w:right w:val="single" w:sz="4" w:space="0" w:color="auto"/>
            </w:tcBorders>
            <w:vAlign w:val="center"/>
          </w:tcPr>
          <w:p w:rsidR="00B32EC0" w:rsidRPr="009E2812" w:rsidRDefault="00B32EC0" w:rsidP="002C7EC4">
            <w:pPr>
              <w:rPr>
                <w:b/>
                <w:bCs/>
                <w:i/>
                <w:iCs/>
                <w:sz w:val="24"/>
                <w:szCs w:val="24"/>
                <w:lang w:val="uk-UA"/>
              </w:rPr>
            </w:pPr>
            <w:r>
              <w:rPr>
                <w:b/>
                <w:bCs/>
                <w:i/>
                <w:iCs/>
                <w:sz w:val="24"/>
                <w:szCs w:val="24"/>
                <w:lang w:val="uk-UA"/>
              </w:rPr>
              <w:t>Зобов'язання, в</w:t>
            </w:r>
            <w:r w:rsidRPr="009E2812">
              <w:rPr>
                <w:b/>
                <w:bCs/>
                <w:i/>
                <w:iCs/>
                <w:sz w:val="24"/>
                <w:szCs w:val="24"/>
                <w:lang w:val="uk-UA"/>
              </w:rPr>
              <w:t>сього   </w:t>
            </w:r>
          </w:p>
        </w:tc>
        <w:tc>
          <w:tcPr>
            <w:tcW w:w="1526" w:type="dxa"/>
            <w:tcBorders>
              <w:top w:val="nil"/>
              <w:left w:val="nil"/>
              <w:bottom w:val="nil"/>
              <w:right w:val="single" w:sz="4" w:space="0" w:color="auto"/>
            </w:tcBorders>
            <w:vAlign w:val="center"/>
          </w:tcPr>
          <w:p w:rsidR="00B32EC0" w:rsidRPr="009E2812" w:rsidRDefault="00B32EC0" w:rsidP="002C7EC4">
            <w:pPr>
              <w:jc w:val="center"/>
              <w:rPr>
                <w:b/>
                <w:bCs/>
                <w:i/>
                <w:iCs/>
                <w:sz w:val="24"/>
                <w:szCs w:val="24"/>
                <w:lang w:val="uk-UA"/>
              </w:rPr>
            </w:pPr>
            <w:r w:rsidRPr="009E2812">
              <w:rPr>
                <w:b/>
                <w:bCs/>
                <w:i/>
                <w:iCs/>
                <w:sz w:val="24"/>
                <w:szCs w:val="24"/>
                <w:lang w:val="uk-UA"/>
              </w:rPr>
              <w:t>107</w:t>
            </w:r>
          </w:p>
        </w:tc>
        <w:tc>
          <w:tcPr>
            <w:tcW w:w="1404" w:type="dxa"/>
            <w:tcBorders>
              <w:top w:val="nil"/>
              <w:left w:val="nil"/>
              <w:bottom w:val="nil"/>
              <w:right w:val="single" w:sz="4" w:space="0" w:color="auto"/>
            </w:tcBorders>
            <w:vAlign w:val="center"/>
          </w:tcPr>
          <w:p w:rsidR="00B32EC0" w:rsidRPr="009E2812" w:rsidRDefault="00B32EC0" w:rsidP="002C7EC4">
            <w:pPr>
              <w:jc w:val="center"/>
              <w:rPr>
                <w:b/>
                <w:bCs/>
                <w:i/>
                <w:iCs/>
                <w:sz w:val="24"/>
                <w:szCs w:val="24"/>
                <w:lang w:val="uk-UA"/>
              </w:rPr>
            </w:pPr>
            <w:r w:rsidRPr="009E2812">
              <w:rPr>
                <w:b/>
                <w:bCs/>
                <w:i/>
                <w:iCs/>
                <w:sz w:val="24"/>
                <w:szCs w:val="24"/>
                <w:lang w:val="uk-UA"/>
              </w:rPr>
              <w:t>156</w:t>
            </w:r>
          </w:p>
        </w:tc>
      </w:tr>
      <w:tr w:rsidR="00B32EC0" w:rsidRPr="009E2812" w:rsidTr="002C7EC4">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B32EC0" w:rsidRPr="009E2812" w:rsidRDefault="00B32EC0" w:rsidP="002C7EC4">
            <w:pPr>
              <w:jc w:val="center"/>
              <w:rPr>
                <w:b/>
                <w:bCs/>
                <w:sz w:val="24"/>
                <w:szCs w:val="24"/>
                <w:lang w:val="uk-UA"/>
              </w:rPr>
            </w:pPr>
            <w:r w:rsidRPr="009E2812">
              <w:rPr>
                <w:b/>
                <w:bCs/>
                <w:sz w:val="24"/>
                <w:szCs w:val="24"/>
                <w:lang w:val="uk-UA"/>
              </w:rPr>
              <w:t>3</w:t>
            </w:r>
          </w:p>
        </w:tc>
        <w:tc>
          <w:tcPr>
            <w:tcW w:w="5433" w:type="dxa"/>
            <w:gridSpan w:val="2"/>
            <w:tcBorders>
              <w:top w:val="single" w:sz="4" w:space="0" w:color="auto"/>
              <w:left w:val="nil"/>
              <w:bottom w:val="single" w:sz="4" w:space="0" w:color="auto"/>
              <w:right w:val="single" w:sz="4" w:space="0" w:color="auto"/>
            </w:tcBorders>
            <w:vAlign w:val="center"/>
          </w:tcPr>
          <w:p w:rsidR="00B32EC0" w:rsidRDefault="00B32EC0" w:rsidP="002C7EC4">
            <w:pPr>
              <w:rPr>
                <w:b/>
                <w:bCs/>
                <w:sz w:val="24"/>
                <w:szCs w:val="24"/>
                <w:lang w:val="uk-UA"/>
              </w:rPr>
            </w:pPr>
          </w:p>
          <w:p w:rsidR="00B32EC0" w:rsidRDefault="00B32EC0" w:rsidP="002C7EC4">
            <w:pPr>
              <w:rPr>
                <w:b/>
                <w:bCs/>
                <w:sz w:val="24"/>
                <w:szCs w:val="24"/>
                <w:lang w:val="uk-UA"/>
              </w:rPr>
            </w:pPr>
            <w:r w:rsidRPr="009E2812">
              <w:rPr>
                <w:b/>
                <w:bCs/>
                <w:sz w:val="24"/>
                <w:szCs w:val="24"/>
                <w:lang w:val="uk-UA"/>
              </w:rPr>
              <w:t>Розрахункова вартість чистих активів (3=1-2)  </w:t>
            </w:r>
          </w:p>
          <w:p w:rsidR="00B32EC0" w:rsidRPr="009E2812" w:rsidRDefault="00B32EC0" w:rsidP="002C7EC4">
            <w:pPr>
              <w:rPr>
                <w:b/>
                <w:bCs/>
                <w:sz w:val="24"/>
                <w:szCs w:val="24"/>
                <w:lang w:val="uk-UA"/>
              </w:rPr>
            </w:pPr>
          </w:p>
        </w:tc>
        <w:tc>
          <w:tcPr>
            <w:tcW w:w="1526" w:type="dxa"/>
            <w:tcBorders>
              <w:top w:val="single" w:sz="4" w:space="0" w:color="auto"/>
              <w:left w:val="nil"/>
              <w:bottom w:val="single" w:sz="4" w:space="0" w:color="auto"/>
              <w:right w:val="single" w:sz="4" w:space="0" w:color="auto"/>
            </w:tcBorders>
            <w:vAlign w:val="center"/>
          </w:tcPr>
          <w:p w:rsidR="00B32EC0" w:rsidRPr="009E2812" w:rsidRDefault="00B32EC0" w:rsidP="002C7EC4">
            <w:pPr>
              <w:jc w:val="center"/>
              <w:rPr>
                <w:b/>
                <w:bCs/>
                <w:sz w:val="24"/>
                <w:szCs w:val="24"/>
                <w:lang w:val="uk-UA"/>
              </w:rPr>
            </w:pPr>
            <w:r w:rsidRPr="009E2812">
              <w:rPr>
                <w:b/>
                <w:bCs/>
                <w:sz w:val="24"/>
                <w:szCs w:val="24"/>
                <w:lang w:val="uk-UA"/>
              </w:rPr>
              <w:t>32 203</w:t>
            </w:r>
          </w:p>
        </w:tc>
        <w:tc>
          <w:tcPr>
            <w:tcW w:w="1404" w:type="dxa"/>
            <w:tcBorders>
              <w:top w:val="single" w:sz="4" w:space="0" w:color="auto"/>
              <w:left w:val="nil"/>
              <w:bottom w:val="single" w:sz="4" w:space="0" w:color="auto"/>
              <w:right w:val="single" w:sz="4" w:space="0" w:color="auto"/>
            </w:tcBorders>
            <w:vAlign w:val="center"/>
          </w:tcPr>
          <w:p w:rsidR="00B32EC0" w:rsidRPr="009E2812" w:rsidRDefault="00B32EC0" w:rsidP="004C1A4D">
            <w:pPr>
              <w:jc w:val="center"/>
              <w:rPr>
                <w:b/>
                <w:bCs/>
                <w:sz w:val="24"/>
                <w:szCs w:val="24"/>
                <w:lang w:val="uk-UA"/>
              </w:rPr>
            </w:pPr>
            <w:r w:rsidRPr="009E2812">
              <w:rPr>
                <w:b/>
                <w:bCs/>
                <w:sz w:val="24"/>
                <w:szCs w:val="24"/>
                <w:lang w:val="uk-UA"/>
              </w:rPr>
              <w:t>45 212</w:t>
            </w:r>
          </w:p>
        </w:tc>
      </w:tr>
    </w:tbl>
    <w:p w:rsidR="00B32EC0" w:rsidRPr="009E2812" w:rsidRDefault="00B32EC0" w:rsidP="002C7EC4">
      <w:pPr>
        <w:pStyle w:val="BodyText"/>
        <w:tabs>
          <w:tab w:val="left" w:pos="0"/>
          <w:tab w:val="left" w:pos="709"/>
        </w:tabs>
        <w:rPr>
          <w:rFonts w:ascii="Times New Roman" w:hAnsi="Times New Roman"/>
          <w:b/>
          <w:i/>
          <w:szCs w:val="24"/>
          <w:lang w:val="uk-UA"/>
        </w:rPr>
      </w:pPr>
    </w:p>
    <w:p w:rsidR="00B32EC0" w:rsidRPr="009E2812" w:rsidRDefault="00B32EC0" w:rsidP="002C7EC4">
      <w:pPr>
        <w:pStyle w:val="BodyText"/>
        <w:tabs>
          <w:tab w:val="left" w:pos="0"/>
          <w:tab w:val="left" w:pos="709"/>
        </w:tabs>
        <w:rPr>
          <w:rFonts w:ascii="Times New Roman" w:hAnsi="Times New Roman"/>
          <w:b/>
          <w:i/>
          <w:szCs w:val="24"/>
          <w:lang w:val="uk-UA"/>
        </w:rPr>
      </w:pPr>
    </w:p>
    <w:p w:rsidR="00B32EC0" w:rsidRPr="009E2812" w:rsidRDefault="00B32EC0" w:rsidP="002C7EC4">
      <w:pPr>
        <w:pStyle w:val="BodyText"/>
        <w:tabs>
          <w:tab w:val="left" w:pos="0"/>
          <w:tab w:val="left" w:pos="709"/>
        </w:tabs>
        <w:rPr>
          <w:rFonts w:ascii="Times New Roman" w:hAnsi="Times New Roman"/>
          <w:b/>
          <w:i/>
          <w:sz w:val="20"/>
          <w:lang w:val="uk-UA"/>
        </w:rPr>
      </w:pPr>
    </w:p>
    <w:p w:rsidR="00B32EC0" w:rsidRPr="009E2812" w:rsidRDefault="00B32EC0" w:rsidP="002C7EC4">
      <w:pPr>
        <w:pStyle w:val="BodyText"/>
        <w:tabs>
          <w:tab w:val="left" w:pos="0"/>
          <w:tab w:val="left" w:pos="709"/>
        </w:tabs>
        <w:rPr>
          <w:rFonts w:ascii="Times New Roman" w:hAnsi="Times New Roman"/>
          <w:b/>
          <w:i/>
          <w:sz w:val="20"/>
          <w:lang w:val="uk-UA"/>
        </w:rPr>
      </w:pPr>
    </w:p>
    <w:p w:rsidR="00B32EC0" w:rsidRPr="009E2812" w:rsidRDefault="00B32EC0" w:rsidP="002C7EC4">
      <w:pPr>
        <w:numPr>
          <w:ilvl w:val="1"/>
          <w:numId w:val="13"/>
        </w:numPr>
        <w:suppressAutoHyphens/>
        <w:ind w:hanging="938"/>
        <w:jc w:val="both"/>
        <w:rPr>
          <w:b/>
          <w:i/>
          <w:caps/>
          <w:sz w:val="24"/>
          <w:szCs w:val="24"/>
          <w:lang w:val="uk-UA"/>
        </w:rPr>
      </w:pPr>
      <w:r w:rsidRPr="009E2812">
        <w:rPr>
          <w:b/>
          <w:i/>
          <w:caps/>
          <w:sz w:val="24"/>
          <w:szCs w:val="24"/>
          <w:lang w:val="uk-UA"/>
        </w:rPr>
        <w:t>Думка аудитора щодо спеціальної звітності недержавного пенсійного фонду за рік, що закінчився 31 грудня 2014 року</w:t>
      </w:r>
    </w:p>
    <w:p w:rsidR="00B32EC0" w:rsidRPr="009E2812" w:rsidRDefault="00B32EC0" w:rsidP="002C7EC4">
      <w:pPr>
        <w:tabs>
          <w:tab w:val="left" w:pos="709"/>
        </w:tabs>
        <w:jc w:val="both"/>
        <w:rPr>
          <w:lang w:val="uk-UA"/>
        </w:rPr>
      </w:pPr>
    </w:p>
    <w:p w:rsidR="00B32EC0" w:rsidRPr="009E2812" w:rsidRDefault="00B32EC0" w:rsidP="006C601C">
      <w:pPr>
        <w:suppressAutoHyphens/>
        <w:ind w:left="720"/>
        <w:jc w:val="both"/>
        <w:rPr>
          <w:sz w:val="24"/>
          <w:szCs w:val="24"/>
          <w:lang w:val="uk-UA"/>
        </w:rPr>
      </w:pPr>
      <w:r w:rsidRPr="009E2812">
        <w:rPr>
          <w:sz w:val="24"/>
          <w:szCs w:val="24"/>
          <w:lang w:val="uk-UA"/>
        </w:rPr>
        <w:t>Аудиторами виконано перевірку поданої в додатку спеціальної звітності ВПФ «ФАРМАЦЕВТИЧНИЙ» станом на 31 грудня 2014 року. Відповідальність за спеціальну звітність, подану нижче, несе Адміністратор ВПФ «ФАРМАЦЕВТИЧНИЙ»  - ТОВ «КУА  «ГАРАНТІЯ-ІНВЕСТ». Обов’язком аудиторів є надання звіту стосовно відповідності цієї спеціальної звітності вимогам Положення про порядок складання, формування та подання адміністратором недержавного пенсійного фонду звітності з недержавного пенсійного забезпечення, затвердженого Розпорядженням Державної комісії з регулювання ринків фінансових послуг України від 27.10.11р. № 674 (в редакції розпорядження Національної комісії, що здійснює державне у сфері ринків фінансових послуг України від 28.01.2014 р. № 238).</w:t>
      </w:r>
    </w:p>
    <w:p w:rsidR="00B32EC0" w:rsidRPr="009E2812" w:rsidRDefault="00B32EC0" w:rsidP="002C7EC4">
      <w:pPr>
        <w:jc w:val="both"/>
        <w:rPr>
          <w:i/>
          <w:sz w:val="24"/>
          <w:szCs w:val="24"/>
          <w:lang w:val="uk-UA"/>
        </w:rPr>
      </w:pPr>
    </w:p>
    <w:p w:rsidR="00B32EC0" w:rsidRPr="009E2812" w:rsidRDefault="00B32EC0" w:rsidP="002C7EC4">
      <w:pPr>
        <w:jc w:val="both"/>
        <w:rPr>
          <w:i/>
          <w:sz w:val="24"/>
          <w:szCs w:val="24"/>
          <w:lang w:val="uk-UA"/>
        </w:rPr>
      </w:pPr>
    </w:p>
    <w:p w:rsidR="00B32EC0" w:rsidRPr="00913760" w:rsidRDefault="00B32EC0" w:rsidP="006C601C">
      <w:pPr>
        <w:suppressAutoHyphens/>
        <w:ind w:left="720"/>
        <w:jc w:val="both"/>
        <w:rPr>
          <w:i/>
          <w:sz w:val="24"/>
          <w:szCs w:val="24"/>
          <w:lang w:val="uk-UA"/>
        </w:rPr>
      </w:pPr>
      <w:r w:rsidRPr="00913760">
        <w:rPr>
          <w:i/>
          <w:sz w:val="24"/>
          <w:szCs w:val="24"/>
          <w:lang w:val="uk-UA"/>
        </w:rPr>
        <w:t xml:space="preserve">Загальні відомості про недержавний пенсійний фонд </w:t>
      </w:r>
    </w:p>
    <w:p w:rsidR="00B32EC0" w:rsidRPr="00913760" w:rsidRDefault="00B32EC0" w:rsidP="006C601C">
      <w:pPr>
        <w:pStyle w:val="Heading4"/>
        <w:ind w:firstLine="708"/>
        <w:jc w:val="both"/>
        <w:rPr>
          <w:rFonts w:ascii="Times New Roman" w:hAnsi="Times New Roman"/>
          <w:i/>
          <w:szCs w:val="24"/>
          <w:lang w:val="uk-UA"/>
        </w:rPr>
      </w:pPr>
      <w:r w:rsidRPr="00913760">
        <w:rPr>
          <w:rFonts w:ascii="Times New Roman" w:hAnsi="Times New Roman"/>
          <w:i/>
          <w:szCs w:val="24"/>
          <w:lang w:val="uk-UA"/>
        </w:rPr>
        <w:t>(Форма НПФ-1)</w:t>
      </w:r>
    </w:p>
    <w:p w:rsidR="00B32EC0" w:rsidRPr="009E2812" w:rsidRDefault="00B32EC0" w:rsidP="006C601C">
      <w:pPr>
        <w:suppressAutoHyphens/>
        <w:ind w:left="720"/>
        <w:jc w:val="both"/>
        <w:rPr>
          <w:sz w:val="24"/>
          <w:szCs w:val="24"/>
          <w:lang w:val="uk-UA"/>
        </w:rPr>
      </w:pPr>
      <w:r w:rsidRPr="009E2812">
        <w:rPr>
          <w:sz w:val="24"/>
          <w:szCs w:val="24"/>
          <w:lang w:val="uk-UA"/>
        </w:rPr>
        <w:t>Форма спеціальної звітності достовірно та повно відображає відомості про недержавний пенсійний фонд.</w:t>
      </w:r>
    </w:p>
    <w:p w:rsidR="00B32EC0" w:rsidRPr="00913760" w:rsidRDefault="00B32EC0" w:rsidP="006C601C">
      <w:pPr>
        <w:pStyle w:val="Heading4"/>
        <w:jc w:val="both"/>
        <w:rPr>
          <w:rFonts w:ascii="Times New Roman" w:hAnsi="Times New Roman"/>
          <w:b/>
          <w:szCs w:val="24"/>
          <w:u w:val="single"/>
          <w:lang w:val="uk-UA"/>
        </w:rPr>
      </w:pPr>
    </w:p>
    <w:p w:rsidR="00B32EC0" w:rsidRPr="009E2812" w:rsidRDefault="00B32EC0" w:rsidP="006C601C">
      <w:pPr>
        <w:rPr>
          <w:lang w:val="uk-UA"/>
        </w:rPr>
      </w:pPr>
    </w:p>
    <w:p w:rsidR="00B32EC0" w:rsidRPr="00913760" w:rsidRDefault="00B32EC0" w:rsidP="006C601C">
      <w:pPr>
        <w:suppressAutoHyphens/>
        <w:ind w:left="720"/>
        <w:jc w:val="both"/>
        <w:rPr>
          <w:i/>
          <w:sz w:val="24"/>
          <w:szCs w:val="24"/>
          <w:lang w:val="uk-UA"/>
        </w:rPr>
      </w:pPr>
      <w:r w:rsidRPr="00913760">
        <w:rPr>
          <w:i/>
          <w:sz w:val="24"/>
          <w:szCs w:val="24"/>
          <w:lang w:val="uk-UA"/>
        </w:rPr>
        <w:t>Звіт про склад, структуру та чисту вартість активів недержавного пенсійного фонду</w:t>
      </w:r>
    </w:p>
    <w:p w:rsidR="00B32EC0" w:rsidRPr="00913760" w:rsidRDefault="00B32EC0" w:rsidP="006C601C">
      <w:pPr>
        <w:pStyle w:val="Heading4"/>
        <w:ind w:firstLine="708"/>
        <w:jc w:val="both"/>
        <w:rPr>
          <w:rFonts w:ascii="Times New Roman" w:hAnsi="Times New Roman"/>
          <w:i/>
          <w:szCs w:val="24"/>
          <w:lang w:val="uk-UA"/>
        </w:rPr>
      </w:pPr>
      <w:r w:rsidRPr="00913760">
        <w:rPr>
          <w:rFonts w:ascii="Times New Roman" w:hAnsi="Times New Roman"/>
          <w:i/>
          <w:szCs w:val="24"/>
          <w:lang w:val="uk-UA"/>
        </w:rPr>
        <w:t>(Форма НПФ-2)</w:t>
      </w:r>
    </w:p>
    <w:p w:rsidR="00B32EC0" w:rsidRPr="009E2812" w:rsidRDefault="00B32EC0" w:rsidP="006C601C">
      <w:pPr>
        <w:suppressAutoHyphens/>
        <w:ind w:left="720"/>
        <w:jc w:val="both"/>
        <w:rPr>
          <w:sz w:val="24"/>
          <w:szCs w:val="24"/>
          <w:lang w:val="uk-UA"/>
        </w:rPr>
      </w:pPr>
      <w:r w:rsidRPr="009E2812">
        <w:rPr>
          <w:sz w:val="24"/>
          <w:szCs w:val="24"/>
          <w:lang w:val="uk-UA"/>
        </w:rPr>
        <w:t xml:space="preserve">Форма спеціальної звітності достовірно та повно відображає дані про склад, структуру та чисту вартість активів недержавного пенсійного фонду станом на 31.12.2014 р. </w:t>
      </w:r>
    </w:p>
    <w:p w:rsidR="00B32EC0" w:rsidRPr="00913760" w:rsidRDefault="00B32EC0" w:rsidP="006C601C">
      <w:pPr>
        <w:pStyle w:val="Heading4"/>
        <w:jc w:val="both"/>
        <w:rPr>
          <w:rFonts w:ascii="Times New Roman" w:hAnsi="Times New Roman"/>
          <w:b/>
          <w:szCs w:val="24"/>
          <w:u w:val="single"/>
          <w:lang w:val="uk-UA"/>
        </w:rPr>
      </w:pPr>
    </w:p>
    <w:p w:rsidR="00B32EC0" w:rsidRPr="009E2812" w:rsidRDefault="00B32EC0" w:rsidP="006C601C">
      <w:pPr>
        <w:rPr>
          <w:lang w:val="uk-UA"/>
        </w:rPr>
      </w:pPr>
    </w:p>
    <w:p w:rsidR="00B32EC0" w:rsidRPr="00913760" w:rsidRDefault="00B32EC0" w:rsidP="006C601C">
      <w:pPr>
        <w:suppressAutoHyphens/>
        <w:ind w:left="720"/>
        <w:jc w:val="both"/>
        <w:rPr>
          <w:i/>
          <w:sz w:val="24"/>
          <w:szCs w:val="24"/>
          <w:lang w:val="uk-UA"/>
        </w:rPr>
      </w:pPr>
      <w:r w:rsidRPr="00913760">
        <w:rPr>
          <w:i/>
          <w:sz w:val="24"/>
          <w:szCs w:val="24"/>
          <w:lang w:val="uk-UA"/>
        </w:rPr>
        <w:t xml:space="preserve">Звіт про зміну чистої вартості пенсійних активів недержавного пенсійного фонду </w:t>
      </w:r>
    </w:p>
    <w:p w:rsidR="00B32EC0" w:rsidRPr="00913760" w:rsidRDefault="00B32EC0" w:rsidP="006C601C">
      <w:pPr>
        <w:pStyle w:val="Heading4"/>
        <w:ind w:firstLine="708"/>
        <w:jc w:val="both"/>
        <w:rPr>
          <w:rFonts w:ascii="Times New Roman" w:hAnsi="Times New Roman"/>
          <w:i/>
          <w:szCs w:val="24"/>
          <w:lang w:val="uk-UA"/>
        </w:rPr>
      </w:pPr>
      <w:r w:rsidRPr="00913760">
        <w:rPr>
          <w:rFonts w:ascii="Times New Roman" w:hAnsi="Times New Roman"/>
          <w:i/>
          <w:szCs w:val="24"/>
          <w:lang w:val="uk-UA"/>
        </w:rPr>
        <w:t>(Форма НПФ-3)</w:t>
      </w:r>
    </w:p>
    <w:p w:rsidR="00B32EC0" w:rsidRPr="009E2812" w:rsidRDefault="00B32EC0" w:rsidP="006C601C">
      <w:pPr>
        <w:suppressAutoHyphens/>
        <w:ind w:left="720"/>
        <w:jc w:val="both"/>
        <w:rPr>
          <w:sz w:val="24"/>
          <w:szCs w:val="24"/>
          <w:lang w:val="uk-UA"/>
        </w:rPr>
      </w:pPr>
      <w:r w:rsidRPr="009E2812">
        <w:rPr>
          <w:sz w:val="24"/>
          <w:szCs w:val="24"/>
          <w:lang w:val="uk-UA"/>
        </w:rPr>
        <w:t>Форма спеціальної звітності достовірно та повно відображає дані про зміну чистої вартості пенсійних активів недержавного пенсійного фонду станом на 31.12.2014 р.</w:t>
      </w:r>
    </w:p>
    <w:p w:rsidR="00B32EC0" w:rsidRPr="00913760" w:rsidRDefault="00B32EC0" w:rsidP="006C601C">
      <w:pPr>
        <w:pStyle w:val="Heading4"/>
        <w:jc w:val="both"/>
        <w:rPr>
          <w:rFonts w:ascii="Times New Roman" w:hAnsi="Times New Roman"/>
          <w:b/>
          <w:szCs w:val="24"/>
          <w:u w:val="single"/>
          <w:lang w:val="uk-UA"/>
        </w:rPr>
      </w:pPr>
    </w:p>
    <w:p w:rsidR="00B32EC0" w:rsidRPr="009E2812" w:rsidRDefault="00B32EC0" w:rsidP="006C601C">
      <w:pPr>
        <w:rPr>
          <w:lang w:val="uk-UA"/>
        </w:rPr>
      </w:pPr>
    </w:p>
    <w:p w:rsidR="00B32EC0" w:rsidRPr="00913760" w:rsidRDefault="00B32EC0" w:rsidP="006C601C">
      <w:pPr>
        <w:suppressAutoHyphens/>
        <w:ind w:left="720"/>
        <w:jc w:val="both"/>
        <w:rPr>
          <w:i/>
          <w:sz w:val="24"/>
          <w:szCs w:val="24"/>
          <w:lang w:val="uk-UA"/>
        </w:rPr>
      </w:pPr>
      <w:r w:rsidRPr="00913760">
        <w:rPr>
          <w:i/>
          <w:sz w:val="24"/>
          <w:szCs w:val="24"/>
          <w:lang w:val="uk-UA"/>
        </w:rPr>
        <w:t xml:space="preserve">Звітні дані персоніфікованого обліку учасників недержавного пенсійного фонду </w:t>
      </w:r>
    </w:p>
    <w:p w:rsidR="00B32EC0" w:rsidRPr="00913760" w:rsidRDefault="00B32EC0" w:rsidP="006C601C">
      <w:pPr>
        <w:suppressAutoHyphens/>
        <w:ind w:left="720"/>
        <w:jc w:val="both"/>
        <w:rPr>
          <w:i/>
          <w:sz w:val="24"/>
          <w:szCs w:val="24"/>
          <w:lang w:val="uk-UA"/>
        </w:rPr>
      </w:pPr>
      <w:r w:rsidRPr="00913760">
        <w:rPr>
          <w:i/>
          <w:sz w:val="24"/>
          <w:szCs w:val="24"/>
          <w:lang w:val="uk-UA"/>
        </w:rPr>
        <w:t>(Форма НПФ-4), Звітні дані про реалізацію пенсійної схеми (Форма НПФ-5), Звітні дані про учасників недержавного пенсійного фонду за віковою категорією (Форма НПФ-7) Інформація щодо зміни чистої вартості одиниці пенсійних внесків (Форма НПФ-10)</w:t>
      </w:r>
    </w:p>
    <w:p w:rsidR="00B32EC0" w:rsidRPr="009E2812" w:rsidRDefault="00B32EC0" w:rsidP="006C601C">
      <w:pPr>
        <w:suppressAutoHyphens/>
        <w:ind w:left="720"/>
        <w:jc w:val="both"/>
        <w:rPr>
          <w:sz w:val="24"/>
          <w:szCs w:val="24"/>
          <w:lang w:val="uk-UA"/>
        </w:rPr>
      </w:pPr>
      <w:r w:rsidRPr="009E2812">
        <w:rPr>
          <w:sz w:val="24"/>
          <w:szCs w:val="24"/>
          <w:lang w:val="uk-UA"/>
        </w:rPr>
        <w:t xml:space="preserve">Відповідно до розділу 6 Положення про провадження діяльності з адміністрування недержавного пенсійного фонду № 1660 від 20.07.04 р., із змінами та доповненнями, доступ до системи персоніфікованого обліку повинні мати тільки ті працівники адміністратора, на яких покладено здійснення відповідних функцій, про що повинно бути вказано в посадових інструкціях.  </w:t>
      </w:r>
    </w:p>
    <w:p w:rsidR="00B32EC0" w:rsidRPr="009E2812" w:rsidRDefault="00B32EC0" w:rsidP="006C601C">
      <w:pPr>
        <w:jc w:val="both"/>
        <w:rPr>
          <w:sz w:val="24"/>
          <w:szCs w:val="24"/>
          <w:lang w:val="uk-UA"/>
        </w:rPr>
      </w:pPr>
    </w:p>
    <w:p w:rsidR="00B32EC0" w:rsidRDefault="00B32EC0" w:rsidP="006C601C">
      <w:pPr>
        <w:jc w:val="both"/>
        <w:rPr>
          <w:sz w:val="24"/>
          <w:szCs w:val="24"/>
          <w:lang w:val="uk-UA"/>
        </w:rPr>
      </w:pPr>
    </w:p>
    <w:p w:rsidR="00B32EC0" w:rsidRPr="009E2812" w:rsidRDefault="00B32EC0" w:rsidP="006C601C">
      <w:pPr>
        <w:jc w:val="both"/>
        <w:rPr>
          <w:sz w:val="24"/>
          <w:szCs w:val="24"/>
          <w:lang w:val="uk-UA"/>
        </w:rPr>
      </w:pPr>
    </w:p>
    <w:p w:rsidR="00B32EC0" w:rsidRPr="00913760" w:rsidRDefault="00B32EC0" w:rsidP="006C601C">
      <w:pPr>
        <w:suppressAutoHyphens/>
        <w:ind w:left="720"/>
        <w:jc w:val="both"/>
        <w:rPr>
          <w:i/>
          <w:sz w:val="24"/>
          <w:szCs w:val="24"/>
          <w:lang w:val="uk-UA"/>
        </w:rPr>
      </w:pPr>
      <w:r w:rsidRPr="00913760">
        <w:rPr>
          <w:i/>
          <w:sz w:val="24"/>
          <w:szCs w:val="24"/>
          <w:lang w:val="uk-UA"/>
        </w:rPr>
        <w:t xml:space="preserve">Звіт про склад та структуру активів недержавного пенсійного фонду </w:t>
      </w:r>
    </w:p>
    <w:p w:rsidR="00B32EC0" w:rsidRPr="00913760" w:rsidRDefault="00B32EC0" w:rsidP="006C601C">
      <w:pPr>
        <w:suppressAutoHyphens/>
        <w:ind w:left="720"/>
        <w:jc w:val="both"/>
        <w:rPr>
          <w:i/>
          <w:sz w:val="24"/>
          <w:szCs w:val="24"/>
          <w:lang w:val="uk-UA"/>
        </w:rPr>
      </w:pPr>
      <w:r w:rsidRPr="00913760">
        <w:rPr>
          <w:i/>
          <w:sz w:val="24"/>
          <w:szCs w:val="24"/>
          <w:lang w:val="uk-UA"/>
        </w:rPr>
        <w:t>(Форма НПФ-8)</w:t>
      </w:r>
    </w:p>
    <w:p w:rsidR="00B32EC0" w:rsidRPr="009E2812" w:rsidRDefault="00B32EC0" w:rsidP="006C601C">
      <w:pPr>
        <w:suppressAutoHyphens/>
        <w:ind w:left="720"/>
        <w:jc w:val="both"/>
        <w:rPr>
          <w:sz w:val="24"/>
          <w:szCs w:val="24"/>
          <w:lang w:val="uk-UA"/>
        </w:rPr>
      </w:pPr>
      <w:r w:rsidRPr="009E2812">
        <w:rPr>
          <w:sz w:val="24"/>
          <w:szCs w:val="24"/>
          <w:lang w:val="uk-UA"/>
        </w:rPr>
        <w:t>Форма спеціальної звітності достовірно та повно відображає дані про склад та структуру активів недержавного пенсійного фонду.</w:t>
      </w:r>
    </w:p>
    <w:p w:rsidR="00B32EC0" w:rsidRPr="00913760" w:rsidRDefault="00B32EC0" w:rsidP="006C601C">
      <w:pPr>
        <w:suppressAutoHyphens/>
        <w:ind w:left="720"/>
        <w:jc w:val="both"/>
        <w:rPr>
          <w:i/>
          <w:sz w:val="24"/>
          <w:szCs w:val="24"/>
          <w:lang w:val="uk-UA"/>
        </w:rPr>
      </w:pPr>
    </w:p>
    <w:p w:rsidR="00B32EC0" w:rsidRPr="00913760" w:rsidRDefault="00B32EC0" w:rsidP="006C601C">
      <w:pPr>
        <w:suppressAutoHyphens/>
        <w:ind w:left="720"/>
        <w:jc w:val="both"/>
        <w:rPr>
          <w:i/>
          <w:sz w:val="24"/>
          <w:szCs w:val="24"/>
          <w:lang w:val="uk-UA"/>
        </w:rPr>
      </w:pPr>
      <w:r w:rsidRPr="00913760">
        <w:rPr>
          <w:i/>
          <w:sz w:val="24"/>
          <w:szCs w:val="24"/>
          <w:lang w:val="uk-UA"/>
        </w:rPr>
        <w:t xml:space="preserve">Звіт про договори, що були укладені за цінними паперами українських емітентів, які входять (входили) до складу активів недержавного пенсійного фонду </w:t>
      </w:r>
    </w:p>
    <w:p w:rsidR="00B32EC0" w:rsidRPr="00913760" w:rsidRDefault="00B32EC0" w:rsidP="006C601C">
      <w:pPr>
        <w:suppressAutoHyphens/>
        <w:ind w:left="720"/>
        <w:jc w:val="both"/>
        <w:rPr>
          <w:i/>
          <w:sz w:val="24"/>
          <w:szCs w:val="24"/>
          <w:lang w:val="uk-UA"/>
        </w:rPr>
      </w:pPr>
      <w:r w:rsidRPr="00913760">
        <w:rPr>
          <w:i/>
          <w:sz w:val="24"/>
          <w:szCs w:val="24"/>
          <w:lang w:val="uk-UA"/>
        </w:rPr>
        <w:t>(Форма НПФ-9)</w:t>
      </w:r>
    </w:p>
    <w:p w:rsidR="00B32EC0" w:rsidRPr="009E2812" w:rsidRDefault="00B32EC0" w:rsidP="006C601C">
      <w:pPr>
        <w:suppressAutoHyphens/>
        <w:ind w:left="720"/>
        <w:jc w:val="both"/>
        <w:rPr>
          <w:sz w:val="24"/>
          <w:szCs w:val="24"/>
          <w:lang w:val="uk-UA"/>
        </w:rPr>
      </w:pPr>
      <w:r w:rsidRPr="009E2812">
        <w:rPr>
          <w:sz w:val="24"/>
          <w:szCs w:val="24"/>
          <w:lang w:val="uk-UA"/>
        </w:rPr>
        <w:t>Форма спеціальної звітності достовірно та повно відображає дані виконані угоди, що були укладені за цінними паперами українських емітентів, які входять до складу активів недержавного пенсійного фонду.</w:t>
      </w:r>
    </w:p>
    <w:p w:rsidR="00B32EC0" w:rsidRPr="00913760" w:rsidRDefault="00B32EC0" w:rsidP="006C601C">
      <w:pPr>
        <w:pStyle w:val="Heading4"/>
        <w:jc w:val="left"/>
        <w:rPr>
          <w:rFonts w:ascii="Times New Roman" w:hAnsi="Times New Roman"/>
          <w:b/>
          <w:i/>
          <w:szCs w:val="24"/>
          <w:lang w:val="uk-UA"/>
        </w:rPr>
      </w:pPr>
    </w:p>
    <w:p w:rsidR="00B32EC0" w:rsidRPr="00913760" w:rsidRDefault="00B32EC0" w:rsidP="006C601C">
      <w:pPr>
        <w:suppressAutoHyphens/>
        <w:ind w:left="720"/>
        <w:jc w:val="both"/>
        <w:rPr>
          <w:i/>
          <w:sz w:val="24"/>
          <w:szCs w:val="24"/>
          <w:lang w:val="uk-UA"/>
        </w:rPr>
      </w:pPr>
      <w:r w:rsidRPr="00913760">
        <w:rPr>
          <w:i/>
          <w:sz w:val="24"/>
          <w:szCs w:val="24"/>
          <w:lang w:val="uk-UA"/>
        </w:rPr>
        <w:t>Довідка про чисту вартість активів</w:t>
      </w:r>
    </w:p>
    <w:p w:rsidR="00B32EC0" w:rsidRPr="009E2812" w:rsidRDefault="00B32EC0" w:rsidP="006C601C">
      <w:pPr>
        <w:suppressAutoHyphens/>
        <w:ind w:left="720"/>
        <w:jc w:val="both"/>
        <w:rPr>
          <w:sz w:val="24"/>
          <w:szCs w:val="24"/>
          <w:lang w:val="uk-UA"/>
        </w:rPr>
      </w:pPr>
      <w:r w:rsidRPr="009E2812">
        <w:rPr>
          <w:sz w:val="24"/>
          <w:szCs w:val="24"/>
          <w:lang w:val="uk-UA"/>
        </w:rPr>
        <w:t>Форма спеціальної звітності достовірно та повно відображає дані про чисту вартість активів недержавного пенсійного фонду.</w:t>
      </w:r>
    </w:p>
    <w:p w:rsidR="00B32EC0" w:rsidRPr="009E2812" w:rsidRDefault="00B32EC0" w:rsidP="002C7EC4">
      <w:pPr>
        <w:jc w:val="both"/>
        <w:rPr>
          <w:sz w:val="24"/>
          <w:szCs w:val="24"/>
          <w:lang w:val="uk-UA"/>
        </w:rPr>
      </w:pPr>
    </w:p>
    <w:p w:rsidR="00B32EC0" w:rsidRPr="009E2812" w:rsidRDefault="00B32EC0" w:rsidP="002C7EC4">
      <w:pPr>
        <w:jc w:val="both"/>
        <w:rPr>
          <w:sz w:val="24"/>
          <w:szCs w:val="24"/>
          <w:lang w:val="uk-UA"/>
        </w:rPr>
      </w:pPr>
    </w:p>
    <w:p w:rsidR="00B32EC0" w:rsidRPr="009E2812" w:rsidRDefault="00B32EC0" w:rsidP="00D92BBD">
      <w:pPr>
        <w:suppressAutoHyphens/>
        <w:ind w:left="720"/>
        <w:jc w:val="both"/>
        <w:rPr>
          <w:b/>
          <w:i/>
          <w:sz w:val="24"/>
          <w:szCs w:val="24"/>
          <w:lang w:val="uk-UA"/>
        </w:rPr>
      </w:pPr>
      <w:r w:rsidRPr="009E2812">
        <w:rPr>
          <w:b/>
          <w:i/>
          <w:sz w:val="24"/>
          <w:szCs w:val="24"/>
          <w:lang w:val="uk-UA"/>
        </w:rPr>
        <w:t>Отже, на думку Аудитора, спеціальна звітність недержавного пенсійного фонду представляє достовірно, в усіх суттєвих аспектах дані про ВПФ «ФАРМАЦЕВТИЧНИЙ» станом на 31 грудня 2014 року, його активи та їх використання, персоніфікований облік та реалізацію пенсійних схем, дані про учасників та виконані договори за рік, що минув на зазначену дату, у відповідності до Положення про порядок складання, формування та подання адміністратором недержавного пенсійного фонду звітності з недержавного пенсійного забезпечення, затвердженого Розпорядженням Державної комісії з регулювання ринків фінансових послуг України від 27.10.11р. № 674 (в редакції розпорядження Національної комісії, що здійснює державне у сфері ринків фінансових послуг України від 28.01.2014 р. № 238).</w:t>
      </w:r>
    </w:p>
    <w:p w:rsidR="00B32EC0" w:rsidRPr="009E2812" w:rsidRDefault="00B32EC0" w:rsidP="002C7EC4">
      <w:pPr>
        <w:jc w:val="both"/>
        <w:rPr>
          <w:b/>
          <w:i/>
          <w:lang w:val="uk-UA"/>
        </w:rPr>
      </w:pPr>
    </w:p>
    <w:p w:rsidR="00B32EC0" w:rsidRPr="009E2812" w:rsidRDefault="00B32EC0" w:rsidP="002C7EC4">
      <w:pPr>
        <w:jc w:val="both"/>
        <w:rPr>
          <w:b/>
          <w:i/>
          <w:lang w:val="uk-UA"/>
        </w:rPr>
      </w:pPr>
    </w:p>
    <w:p w:rsidR="00B32EC0" w:rsidRPr="009E2812" w:rsidRDefault="00B32EC0" w:rsidP="002C7EC4">
      <w:pPr>
        <w:rPr>
          <w:b/>
          <w:lang w:val="uk-UA"/>
        </w:rPr>
      </w:pPr>
    </w:p>
    <w:p w:rsidR="00B32EC0" w:rsidRPr="00345621" w:rsidRDefault="00B32EC0" w:rsidP="00BF0501">
      <w:pPr>
        <w:numPr>
          <w:ilvl w:val="1"/>
          <w:numId w:val="13"/>
        </w:numPr>
        <w:tabs>
          <w:tab w:val="num" w:pos="708"/>
        </w:tabs>
        <w:suppressAutoHyphens/>
        <w:ind w:hanging="1080"/>
        <w:rPr>
          <w:i/>
          <w:caps/>
          <w:sz w:val="24"/>
          <w:szCs w:val="24"/>
          <w:lang w:val="uk-UA"/>
        </w:rPr>
      </w:pPr>
      <w:r w:rsidRPr="00345621">
        <w:rPr>
          <w:b/>
          <w:i/>
          <w:caps/>
          <w:sz w:val="24"/>
          <w:szCs w:val="24"/>
          <w:lang w:val="uk-UA"/>
        </w:rPr>
        <w:t>подіЇ після дати балансу</w:t>
      </w:r>
    </w:p>
    <w:p w:rsidR="00B32EC0" w:rsidRPr="00345621" w:rsidRDefault="00B32EC0" w:rsidP="00BF0501">
      <w:pPr>
        <w:ind w:left="720"/>
        <w:jc w:val="both"/>
        <w:rPr>
          <w:sz w:val="24"/>
          <w:szCs w:val="24"/>
          <w:lang w:val="uk-UA"/>
        </w:rPr>
      </w:pPr>
    </w:p>
    <w:p w:rsidR="00B32EC0" w:rsidRPr="00345621" w:rsidRDefault="00B32EC0" w:rsidP="00BF0501">
      <w:pPr>
        <w:ind w:left="720"/>
        <w:jc w:val="both"/>
        <w:rPr>
          <w:sz w:val="24"/>
          <w:szCs w:val="24"/>
          <w:lang w:val="uk-UA"/>
        </w:rPr>
      </w:pPr>
      <w:r w:rsidRPr="00345621">
        <w:rPr>
          <w:sz w:val="24"/>
          <w:szCs w:val="24"/>
          <w:lang w:val="uk-UA"/>
        </w:rPr>
        <w:t xml:space="preserve">За результатами аудиторської перевірки аудитор вважає, що отримані аудиторські докази є незалежними та достатніми і надають підстави для висловлення думки про те, що події після дати балансу, які не знайшли відображення у фінансовій звітності, проте можуть мати суттєвий вплив на фінансовий стан </w:t>
      </w:r>
      <w:r>
        <w:rPr>
          <w:sz w:val="24"/>
          <w:szCs w:val="24"/>
          <w:lang w:val="uk-UA"/>
        </w:rPr>
        <w:t>ВПФ</w:t>
      </w:r>
      <w:r w:rsidRPr="00345621">
        <w:rPr>
          <w:sz w:val="24"/>
          <w:szCs w:val="24"/>
          <w:lang w:val="uk-UA"/>
        </w:rPr>
        <w:t xml:space="preserve"> «</w:t>
      </w:r>
      <w:r>
        <w:rPr>
          <w:sz w:val="24"/>
          <w:szCs w:val="24"/>
          <w:lang w:val="uk-UA"/>
        </w:rPr>
        <w:t>ФАРМАЦЕВТИЧНИЙ</w:t>
      </w:r>
      <w:r w:rsidRPr="00345621">
        <w:rPr>
          <w:sz w:val="24"/>
          <w:szCs w:val="24"/>
          <w:lang w:val="uk-UA"/>
        </w:rPr>
        <w:t>» станом на 31.12.2014 р. відсутні.</w:t>
      </w:r>
    </w:p>
    <w:p w:rsidR="00B32EC0" w:rsidRPr="00345621" w:rsidRDefault="00B32EC0" w:rsidP="00BF0501">
      <w:pPr>
        <w:ind w:left="720"/>
        <w:jc w:val="both"/>
        <w:rPr>
          <w:sz w:val="24"/>
          <w:szCs w:val="24"/>
          <w:lang w:val="uk-UA"/>
        </w:rPr>
      </w:pPr>
    </w:p>
    <w:p w:rsidR="00B32EC0" w:rsidRPr="00345621" w:rsidRDefault="00B32EC0" w:rsidP="00BF0501">
      <w:pPr>
        <w:suppressAutoHyphens/>
        <w:ind w:left="720"/>
        <w:jc w:val="both"/>
        <w:rPr>
          <w:sz w:val="24"/>
          <w:szCs w:val="24"/>
          <w:lang w:val="uk-UA" w:eastAsia="zh-CN"/>
        </w:rPr>
      </w:pPr>
      <w:r w:rsidRPr="00345621">
        <w:rPr>
          <w:sz w:val="24"/>
          <w:szCs w:val="24"/>
          <w:lang w:val="uk-UA" w:eastAsia="zh-CN"/>
        </w:rPr>
        <w:t>Керуючись Міжнародним стандартом аудиту 560 «Подальші події» аудитор не несе відповідальності за здійснення процедур або запитів стосовно фінансових звітів після дати Аудиторського висновку. Протягом періоду, починаючи з дати надання звіту незалежних аудиторів до дати оприлюднення фінансових звітів, відповідальність за інформування аудитора про факти, які можуть вплинути на фінансові звіти, несе управлінський персонал Компанії</w:t>
      </w:r>
      <w:r>
        <w:rPr>
          <w:sz w:val="24"/>
          <w:szCs w:val="24"/>
          <w:lang w:val="uk-UA" w:eastAsia="zh-CN"/>
        </w:rPr>
        <w:t>-Адміністратора</w:t>
      </w:r>
      <w:r w:rsidRPr="00345621">
        <w:rPr>
          <w:sz w:val="24"/>
          <w:szCs w:val="24"/>
          <w:lang w:val="uk-UA" w:eastAsia="zh-CN"/>
        </w:rPr>
        <w:t xml:space="preserve">.            </w:t>
      </w:r>
    </w:p>
    <w:p w:rsidR="00B32EC0" w:rsidRPr="009E2812" w:rsidRDefault="00B32EC0" w:rsidP="002C7EC4">
      <w:pPr>
        <w:tabs>
          <w:tab w:val="num" w:pos="720"/>
          <w:tab w:val="left" w:pos="1276"/>
          <w:tab w:val="left" w:pos="1985"/>
        </w:tabs>
        <w:jc w:val="center"/>
        <w:outlineLvl w:val="0"/>
        <w:rPr>
          <w:b/>
          <w:i/>
          <w:sz w:val="24"/>
          <w:szCs w:val="24"/>
          <w:lang w:val="uk-UA"/>
        </w:rPr>
      </w:pPr>
    </w:p>
    <w:p w:rsidR="00B32EC0" w:rsidRPr="009E2812" w:rsidRDefault="00B32EC0" w:rsidP="002C7EC4">
      <w:pPr>
        <w:tabs>
          <w:tab w:val="num" w:pos="720"/>
          <w:tab w:val="left" w:pos="1276"/>
          <w:tab w:val="left" w:pos="1985"/>
        </w:tabs>
        <w:jc w:val="center"/>
        <w:outlineLvl w:val="0"/>
        <w:rPr>
          <w:b/>
          <w:i/>
          <w:sz w:val="24"/>
          <w:szCs w:val="24"/>
          <w:lang w:val="uk-UA"/>
        </w:rPr>
      </w:pPr>
    </w:p>
    <w:p w:rsidR="00B32EC0" w:rsidRPr="009E2812" w:rsidRDefault="00B32EC0" w:rsidP="002C7EC4">
      <w:pPr>
        <w:tabs>
          <w:tab w:val="num" w:pos="720"/>
          <w:tab w:val="left" w:pos="1276"/>
          <w:tab w:val="left" w:pos="1985"/>
        </w:tabs>
        <w:jc w:val="center"/>
        <w:outlineLvl w:val="0"/>
        <w:rPr>
          <w:b/>
          <w:i/>
          <w:sz w:val="24"/>
          <w:szCs w:val="24"/>
          <w:lang w:val="uk-UA"/>
        </w:rPr>
      </w:pPr>
    </w:p>
    <w:p w:rsidR="00B32EC0" w:rsidRPr="009E2812" w:rsidRDefault="00B32EC0" w:rsidP="002C7EC4">
      <w:pPr>
        <w:tabs>
          <w:tab w:val="num" w:pos="720"/>
          <w:tab w:val="left" w:pos="1276"/>
          <w:tab w:val="left" w:pos="1985"/>
        </w:tabs>
        <w:jc w:val="center"/>
        <w:outlineLvl w:val="0"/>
        <w:rPr>
          <w:b/>
          <w:i/>
          <w:sz w:val="24"/>
          <w:szCs w:val="24"/>
          <w:lang w:val="uk-UA"/>
        </w:rPr>
      </w:pPr>
    </w:p>
    <w:p w:rsidR="00B32EC0" w:rsidRPr="009E2812" w:rsidRDefault="00B32EC0" w:rsidP="002C7EC4">
      <w:pPr>
        <w:tabs>
          <w:tab w:val="num" w:pos="720"/>
          <w:tab w:val="left" w:pos="1276"/>
          <w:tab w:val="left" w:pos="1985"/>
        </w:tabs>
        <w:jc w:val="center"/>
        <w:outlineLvl w:val="0"/>
        <w:rPr>
          <w:b/>
          <w:i/>
          <w:sz w:val="24"/>
          <w:szCs w:val="24"/>
          <w:lang w:val="uk-UA"/>
        </w:rPr>
      </w:pPr>
    </w:p>
    <w:p w:rsidR="00B32EC0" w:rsidRPr="009E2812" w:rsidRDefault="00B32EC0" w:rsidP="002C7EC4">
      <w:pPr>
        <w:widowControl w:val="0"/>
        <w:numPr>
          <w:ilvl w:val="0"/>
          <w:numId w:val="13"/>
        </w:numPr>
        <w:jc w:val="center"/>
        <w:rPr>
          <w:b/>
          <w:snapToGrid w:val="0"/>
          <w:sz w:val="24"/>
          <w:szCs w:val="24"/>
          <w:lang w:val="uk-UA"/>
        </w:rPr>
      </w:pPr>
      <w:r w:rsidRPr="009E2812">
        <w:rPr>
          <w:b/>
          <w:snapToGrid w:val="0"/>
          <w:sz w:val="24"/>
          <w:szCs w:val="24"/>
          <w:lang w:val="uk-UA"/>
        </w:rPr>
        <w:t>Розділ «Інші елементи»</w:t>
      </w:r>
    </w:p>
    <w:p w:rsidR="00B32EC0" w:rsidRPr="009E2812" w:rsidRDefault="00B32EC0" w:rsidP="002C7EC4">
      <w:pPr>
        <w:widowControl w:val="0"/>
        <w:ind w:left="720"/>
        <w:rPr>
          <w:b/>
          <w:snapToGrid w:val="0"/>
          <w:sz w:val="24"/>
          <w:szCs w:val="24"/>
          <w:lang w:val="uk-UA"/>
        </w:rPr>
      </w:pPr>
    </w:p>
    <w:p w:rsidR="00B32EC0" w:rsidRPr="009E2812" w:rsidRDefault="00B32EC0" w:rsidP="002C7EC4">
      <w:pPr>
        <w:numPr>
          <w:ilvl w:val="1"/>
          <w:numId w:val="13"/>
        </w:numPr>
        <w:jc w:val="both"/>
        <w:rPr>
          <w:i/>
          <w:caps/>
          <w:sz w:val="24"/>
          <w:szCs w:val="24"/>
          <w:lang w:val="uk-UA"/>
        </w:rPr>
      </w:pPr>
      <w:r w:rsidRPr="009E2812">
        <w:rPr>
          <w:i/>
          <w:caps/>
          <w:sz w:val="24"/>
          <w:szCs w:val="24"/>
          <w:lang w:val="uk-UA"/>
        </w:rPr>
        <w:t>Основні відомості про АУДИТОРСЬКУ ФІРМУ</w:t>
      </w:r>
    </w:p>
    <w:p w:rsidR="00B32EC0" w:rsidRPr="009E2812" w:rsidRDefault="00B32EC0" w:rsidP="002C7EC4">
      <w:pPr>
        <w:widowControl w:val="0"/>
        <w:ind w:left="360"/>
        <w:rPr>
          <w:b/>
          <w:sz w:val="24"/>
          <w:szCs w:val="24"/>
          <w:lang w:val="uk-UA"/>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8"/>
        <w:gridCol w:w="5892"/>
      </w:tblGrid>
      <w:tr w:rsidR="00B32EC0" w:rsidRPr="009E2812" w:rsidTr="00A51770">
        <w:tc>
          <w:tcPr>
            <w:tcW w:w="3108" w:type="dxa"/>
          </w:tcPr>
          <w:p w:rsidR="00B32EC0" w:rsidRPr="009E2812" w:rsidRDefault="00B32EC0" w:rsidP="002C7EC4">
            <w:pPr>
              <w:ind w:left="72"/>
              <w:rPr>
                <w:i/>
                <w:lang w:val="uk-UA"/>
              </w:rPr>
            </w:pPr>
          </w:p>
          <w:p w:rsidR="00B32EC0" w:rsidRPr="009E2812" w:rsidRDefault="00B32EC0" w:rsidP="002C7EC4">
            <w:pPr>
              <w:ind w:left="72"/>
              <w:rPr>
                <w:i/>
                <w:lang w:val="uk-UA"/>
              </w:rPr>
            </w:pPr>
            <w:r w:rsidRPr="009E2812">
              <w:rPr>
                <w:i/>
                <w:lang w:val="uk-UA"/>
              </w:rPr>
              <w:t>Повна найменування юридичної особи</w:t>
            </w:r>
          </w:p>
        </w:tc>
        <w:tc>
          <w:tcPr>
            <w:tcW w:w="5892" w:type="dxa"/>
            <w:vAlign w:val="center"/>
          </w:tcPr>
          <w:p w:rsidR="00B32EC0" w:rsidRPr="009E2812" w:rsidRDefault="00B32EC0" w:rsidP="002C7EC4">
            <w:pPr>
              <w:rPr>
                <w:lang w:val="uk-UA"/>
              </w:rPr>
            </w:pPr>
            <w:r w:rsidRPr="009E2812">
              <w:rPr>
                <w:lang w:val="uk-UA"/>
              </w:rPr>
              <w:t>ТОВАРИСТВО З ОБМЕЖЕНОЮ ВІДПОВІДАЛЬНІСТЮ «АУДИТОРСЬКА ФІРМА «БЛИСКОР  ГАРАНТ»</w:t>
            </w:r>
          </w:p>
        </w:tc>
      </w:tr>
      <w:tr w:rsidR="00B32EC0" w:rsidRPr="009E2812" w:rsidTr="00A51770">
        <w:tc>
          <w:tcPr>
            <w:tcW w:w="3108" w:type="dxa"/>
            <w:vAlign w:val="center"/>
          </w:tcPr>
          <w:p w:rsidR="00B32EC0" w:rsidRPr="009E2812" w:rsidRDefault="00B32EC0" w:rsidP="002C7EC4">
            <w:pPr>
              <w:ind w:left="72"/>
              <w:rPr>
                <w:i/>
                <w:sz w:val="16"/>
                <w:szCs w:val="16"/>
                <w:lang w:val="uk-UA"/>
              </w:rPr>
            </w:pPr>
            <w:r w:rsidRPr="009E2812">
              <w:rPr>
                <w:i/>
                <w:lang w:val="uk-UA"/>
              </w:rPr>
              <w:t>Ідентифікаційний код, зазначений в Єдиному державному реєстрі юридичних осіб та фізичних осіб – підприємців</w:t>
            </w:r>
          </w:p>
        </w:tc>
        <w:tc>
          <w:tcPr>
            <w:tcW w:w="5892" w:type="dxa"/>
            <w:vAlign w:val="center"/>
          </w:tcPr>
          <w:p w:rsidR="00B32EC0" w:rsidRPr="009E2812" w:rsidRDefault="00B32EC0" w:rsidP="002C7EC4">
            <w:pPr>
              <w:rPr>
                <w:lang w:val="uk-UA"/>
              </w:rPr>
            </w:pPr>
            <w:r w:rsidRPr="009E2812">
              <w:rPr>
                <w:sz w:val="22"/>
                <w:szCs w:val="22"/>
                <w:lang w:val="uk-UA"/>
              </w:rPr>
              <w:t>16463676</w:t>
            </w:r>
          </w:p>
        </w:tc>
      </w:tr>
      <w:tr w:rsidR="00B32EC0" w:rsidRPr="009E2812" w:rsidTr="00A51770">
        <w:tc>
          <w:tcPr>
            <w:tcW w:w="3108" w:type="dxa"/>
            <w:vAlign w:val="center"/>
          </w:tcPr>
          <w:p w:rsidR="00B32EC0" w:rsidRPr="009E2812" w:rsidRDefault="00B32EC0" w:rsidP="002C7EC4">
            <w:pPr>
              <w:ind w:left="72"/>
              <w:rPr>
                <w:i/>
                <w:lang w:val="uk-UA"/>
              </w:rPr>
            </w:pPr>
            <w:r w:rsidRPr="009E2812">
              <w:rPr>
                <w:i/>
                <w:lang w:val="uk-UA"/>
              </w:rPr>
              <w:t xml:space="preserve">Місцезнаходження </w:t>
            </w:r>
          </w:p>
        </w:tc>
        <w:tc>
          <w:tcPr>
            <w:tcW w:w="5892" w:type="dxa"/>
            <w:vAlign w:val="center"/>
          </w:tcPr>
          <w:p w:rsidR="00B32EC0" w:rsidRPr="009E2812" w:rsidRDefault="00B32EC0" w:rsidP="002C7EC4">
            <w:pPr>
              <w:ind w:left="72"/>
              <w:rPr>
                <w:sz w:val="22"/>
                <w:szCs w:val="22"/>
                <w:lang w:val="uk-UA"/>
              </w:rPr>
            </w:pPr>
            <w:r w:rsidRPr="009E2812">
              <w:rPr>
                <w:sz w:val="22"/>
                <w:szCs w:val="22"/>
                <w:lang w:val="uk-UA"/>
              </w:rPr>
              <w:t xml:space="preserve">01042, м. Київ, Печерський район, </w:t>
            </w:r>
          </w:p>
          <w:p w:rsidR="00B32EC0" w:rsidRPr="009E2812" w:rsidRDefault="00B32EC0" w:rsidP="002C7EC4">
            <w:pPr>
              <w:ind w:left="72"/>
              <w:rPr>
                <w:lang w:val="uk-UA"/>
              </w:rPr>
            </w:pPr>
            <w:r w:rsidRPr="009E2812">
              <w:rPr>
                <w:sz w:val="22"/>
                <w:szCs w:val="22"/>
                <w:lang w:val="uk-UA"/>
              </w:rPr>
              <w:t>бульвар Марії Приймаченко, 1/27</w:t>
            </w:r>
          </w:p>
        </w:tc>
      </w:tr>
      <w:tr w:rsidR="00B32EC0" w:rsidRPr="009E2812" w:rsidTr="00A51770">
        <w:tc>
          <w:tcPr>
            <w:tcW w:w="3108" w:type="dxa"/>
            <w:vAlign w:val="center"/>
          </w:tcPr>
          <w:p w:rsidR="00B32EC0" w:rsidRPr="009E2812" w:rsidRDefault="00B32EC0" w:rsidP="002C7EC4">
            <w:pPr>
              <w:ind w:left="72"/>
              <w:rPr>
                <w:i/>
                <w:lang w:val="uk-UA"/>
              </w:rPr>
            </w:pPr>
            <w:r w:rsidRPr="009E2812">
              <w:rPr>
                <w:i/>
                <w:lang w:val="uk-UA"/>
              </w:rPr>
              <w:t xml:space="preserve">Фактичне місцезнаходження </w:t>
            </w:r>
          </w:p>
        </w:tc>
        <w:tc>
          <w:tcPr>
            <w:tcW w:w="5892" w:type="dxa"/>
            <w:vAlign w:val="center"/>
          </w:tcPr>
          <w:p w:rsidR="00B32EC0" w:rsidRPr="009E2812" w:rsidRDefault="00B32EC0" w:rsidP="002C7EC4">
            <w:pPr>
              <w:ind w:left="72"/>
              <w:rPr>
                <w:sz w:val="22"/>
                <w:szCs w:val="22"/>
                <w:lang w:val="uk-UA"/>
              </w:rPr>
            </w:pPr>
            <w:r w:rsidRPr="009E2812">
              <w:rPr>
                <w:sz w:val="22"/>
                <w:szCs w:val="22"/>
                <w:lang w:val="uk-UA"/>
              </w:rPr>
              <w:t xml:space="preserve">01042, м. Київ, Печерський район, </w:t>
            </w:r>
          </w:p>
          <w:p w:rsidR="00B32EC0" w:rsidRPr="009E2812" w:rsidRDefault="00B32EC0" w:rsidP="002C7EC4">
            <w:pPr>
              <w:ind w:left="72"/>
              <w:rPr>
                <w:lang w:val="uk-UA"/>
              </w:rPr>
            </w:pPr>
            <w:r w:rsidRPr="009E2812">
              <w:rPr>
                <w:sz w:val="22"/>
                <w:szCs w:val="22"/>
                <w:lang w:val="uk-UA"/>
              </w:rPr>
              <w:t>бульвар Марії Приймаченко, 1/27</w:t>
            </w:r>
          </w:p>
        </w:tc>
      </w:tr>
      <w:tr w:rsidR="00B32EC0" w:rsidRPr="009E2812" w:rsidTr="00A51770">
        <w:tc>
          <w:tcPr>
            <w:tcW w:w="3108" w:type="dxa"/>
            <w:vAlign w:val="center"/>
          </w:tcPr>
          <w:p w:rsidR="00B32EC0" w:rsidRPr="009E2812" w:rsidRDefault="00B32EC0" w:rsidP="002C7EC4">
            <w:pPr>
              <w:ind w:left="72"/>
              <w:rPr>
                <w:i/>
                <w:lang w:val="uk-UA"/>
              </w:rPr>
            </w:pPr>
            <w:r w:rsidRPr="009E2812">
              <w:rPr>
                <w:i/>
                <w:lang w:val="uk-UA"/>
              </w:rPr>
              <w:t>Дата державної реєстрації</w:t>
            </w:r>
          </w:p>
        </w:tc>
        <w:tc>
          <w:tcPr>
            <w:tcW w:w="5892" w:type="dxa"/>
            <w:vAlign w:val="center"/>
          </w:tcPr>
          <w:p w:rsidR="00B32EC0" w:rsidRPr="009E2812" w:rsidRDefault="00B32EC0" w:rsidP="002C7EC4">
            <w:pPr>
              <w:ind w:left="72"/>
              <w:rPr>
                <w:lang w:val="uk-UA"/>
              </w:rPr>
            </w:pPr>
            <w:r w:rsidRPr="009E2812">
              <w:rPr>
                <w:lang w:val="uk-UA"/>
              </w:rPr>
              <w:t>09.11.1993 р.</w:t>
            </w:r>
          </w:p>
        </w:tc>
      </w:tr>
      <w:tr w:rsidR="00B32EC0" w:rsidRPr="00BA7D68" w:rsidTr="00A51770">
        <w:tc>
          <w:tcPr>
            <w:tcW w:w="3108" w:type="dxa"/>
            <w:vAlign w:val="center"/>
          </w:tcPr>
          <w:p w:rsidR="00B32EC0" w:rsidRPr="009E2812" w:rsidRDefault="00B32EC0" w:rsidP="002C7EC4">
            <w:pPr>
              <w:ind w:left="72"/>
              <w:rPr>
                <w:i/>
                <w:lang w:val="uk-UA"/>
              </w:rPr>
            </w:pPr>
            <w:r w:rsidRPr="009E2812">
              <w:rPr>
                <w:i/>
                <w:lang w:val="uk-UA"/>
              </w:rPr>
              <w:t>Свідоцтво АПУ</w:t>
            </w:r>
          </w:p>
        </w:tc>
        <w:tc>
          <w:tcPr>
            <w:tcW w:w="5892" w:type="dxa"/>
            <w:vAlign w:val="center"/>
          </w:tcPr>
          <w:p w:rsidR="00B32EC0" w:rsidRPr="009E2812" w:rsidRDefault="00B32EC0" w:rsidP="002C7EC4">
            <w:pPr>
              <w:widowControl w:val="0"/>
              <w:jc w:val="both"/>
              <w:rPr>
                <w:lang w:val="uk-UA"/>
              </w:rPr>
            </w:pPr>
            <w:r w:rsidRPr="009E2812">
              <w:rPr>
                <w:sz w:val="22"/>
                <w:szCs w:val="22"/>
                <w:lang w:val="uk-UA"/>
              </w:rPr>
              <w:t>Свідоцтво про внесення до Реєстру суб’єктів аудиторської діяльності № 0218, виданого згідно з рішенням Аудиторської палати України від 26.01.2001 р. за № 98, дія якого подовжена до 04.11.2015 р. рішенням Аудиторської палати України № 221/3 від 04.11.2010 р.</w:t>
            </w:r>
          </w:p>
        </w:tc>
      </w:tr>
      <w:tr w:rsidR="00B32EC0" w:rsidRPr="00BA7D68" w:rsidTr="00A51770">
        <w:tc>
          <w:tcPr>
            <w:tcW w:w="3108" w:type="dxa"/>
            <w:vAlign w:val="center"/>
          </w:tcPr>
          <w:p w:rsidR="00B32EC0" w:rsidRPr="009E2812" w:rsidRDefault="00B32EC0" w:rsidP="002C7EC4">
            <w:pPr>
              <w:ind w:left="72"/>
              <w:rPr>
                <w:i/>
                <w:sz w:val="10"/>
                <w:szCs w:val="10"/>
                <w:lang w:val="uk-UA"/>
              </w:rPr>
            </w:pPr>
          </w:p>
          <w:p w:rsidR="00B32EC0" w:rsidRPr="009E2812" w:rsidRDefault="00B32EC0" w:rsidP="002C7EC4">
            <w:pPr>
              <w:ind w:left="72"/>
              <w:rPr>
                <w:i/>
                <w:lang w:val="uk-UA"/>
              </w:rPr>
            </w:pPr>
            <w:r w:rsidRPr="009E2812">
              <w:rPr>
                <w:i/>
                <w:lang w:val="uk-UA"/>
              </w:rPr>
              <w:t>Свідоцтво НКЦПФР</w:t>
            </w:r>
          </w:p>
          <w:p w:rsidR="00B32EC0" w:rsidRPr="009E2812" w:rsidRDefault="00B32EC0" w:rsidP="002C7EC4">
            <w:pPr>
              <w:ind w:left="72"/>
              <w:rPr>
                <w:i/>
                <w:sz w:val="10"/>
                <w:szCs w:val="10"/>
                <w:lang w:val="uk-UA"/>
              </w:rPr>
            </w:pPr>
          </w:p>
        </w:tc>
        <w:tc>
          <w:tcPr>
            <w:tcW w:w="5892" w:type="dxa"/>
            <w:vAlign w:val="center"/>
          </w:tcPr>
          <w:p w:rsidR="00B32EC0" w:rsidRPr="009E2812" w:rsidRDefault="00B32EC0" w:rsidP="002C7EC4">
            <w:pPr>
              <w:ind w:left="72"/>
              <w:rPr>
                <w:lang w:val="uk-UA"/>
              </w:rPr>
            </w:pPr>
            <w:r w:rsidRPr="009E2812">
              <w:rPr>
                <w:sz w:val="22"/>
                <w:szCs w:val="22"/>
                <w:lang w:val="uk-UA"/>
              </w:rPr>
              <w:t>Свідоцтво Національної комісії, що здійснює державне регулювання у сфері ринків фінансових послуг про включення до реєстру аудиторських фірм, які можуть проводити аудиторські перевірки фінансових установ, Розпорядження Нацкомфінпослуг від 11.07.2013р. № 2193, реєстраційний номер Свідоцтва №0042, строк дії Свідоцтва: з 11.07.2013р. до 04.11.2015р.</w:t>
            </w:r>
          </w:p>
        </w:tc>
      </w:tr>
      <w:tr w:rsidR="00B32EC0" w:rsidRPr="00BA7D68" w:rsidTr="00A51770">
        <w:tc>
          <w:tcPr>
            <w:tcW w:w="3108" w:type="dxa"/>
            <w:vAlign w:val="center"/>
          </w:tcPr>
          <w:p w:rsidR="00B32EC0" w:rsidRPr="009E2812" w:rsidRDefault="00B32EC0" w:rsidP="002C7EC4">
            <w:pPr>
              <w:ind w:left="72"/>
              <w:rPr>
                <w:i/>
                <w:lang w:val="uk-UA"/>
              </w:rPr>
            </w:pPr>
            <w:r w:rsidRPr="009E2812">
              <w:rPr>
                <w:i/>
                <w:lang w:val="uk-UA"/>
              </w:rPr>
              <w:t xml:space="preserve">Аудитори, що брали участь в аудиті </w:t>
            </w:r>
          </w:p>
        </w:tc>
        <w:tc>
          <w:tcPr>
            <w:tcW w:w="5892" w:type="dxa"/>
            <w:vAlign w:val="center"/>
          </w:tcPr>
          <w:p w:rsidR="00B32EC0" w:rsidRPr="009E2812" w:rsidRDefault="00B32EC0" w:rsidP="002C7EC4">
            <w:pPr>
              <w:rPr>
                <w:sz w:val="22"/>
                <w:szCs w:val="22"/>
                <w:lang w:val="uk-UA"/>
              </w:rPr>
            </w:pPr>
            <w:r w:rsidRPr="009E2812">
              <w:rPr>
                <w:sz w:val="22"/>
                <w:szCs w:val="22"/>
                <w:lang w:val="uk-UA"/>
              </w:rPr>
              <w:t xml:space="preserve">Ліщенко Тетяна Вікторівна </w:t>
            </w:r>
          </w:p>
          <w:p w:rsidR="00B32EC0" w:rsidRPr="009E2812" w:rsidRDefault="00B32EC0" w:rsidP="002C7EC4">
            <w:pPr>
              <w:rPr>
                <w:lang w:val="uk-UA"/>
              </w:rPr>
            </w:pPr>
            <w:r w:rsidRPr="009E2812">
              <w:rPr>
                <w:sz w:val="22"/>
                <w:szCs w:val="22"/>
                <w:lang w:val="uk-UA"/>
              </w:rPr>
              <w:t>сертифікат аудитора № 004540, виданий згідно з рішенням Аудиторської палати України № 99 від 23.02.2001 р., дія якого подовжена до 23.02.2020 р. рішенням Аудиторської палати України № 304/2 від 24.12.2014 р.</w:t>
            </w:r>
          </w:p>
        </w:tc>
      </w:tr>
    </w:tbl>
    <w:p w:rsidR="00B32EC0" w:rsidRPr="009E2812" w:rsidRDefault="00B32EC0" w:rsidP="002C7EC4">
      <w:pPr>
        <w:ind w:left="720"/>
        <w:jc w:val="both"/>
        <w:rPr>
          <w:sz w:val="22"/>
          <w:szCs w:val="22"/>
          <w:lang w:val="uk-UA" w:eastAsia="uk-UA"/>
        </w:rPr>
      </w:pPr>
    </w:p>
    <w:p w:rsidR="00B32EC0" w:rsidRPr="009E2812" w:rsidRDefault="00B32EC0" w:rsidP="002C7EC4">
      <w:pPr>
        <w:rPr>
          <w:b/>
          <w:snapToGrid w:val="0"/>
          <w:sz w:val="22"/>
          <w:szCs w:val="22"/>
          <w:lang w:val="uk-UA"/>
        </w:rPr>
      </w:pPr>
    </w:p>
    <w:p w:rsidR="00B32EC0" w:rsidRPr="009E2812" w:rsidRDefault="00B32EC0" w:rsidP="002C7EC4">
      <w:pPr>
        <w:numPr>
          <w:ilvl w:val="1"/>
          <w:numId w:val="13"/>
        </w:numPr>
        <w:jc w:val="both"/>
        <w:rPr>
          <w:b/>
          <w:snapToGrid w:val="0"/>
          <w:sz w:val="22"/>
          <w:szCs w:val="22"/>
          <w:lang w:val="uk-UA"/>
        </w:rPr>
      </w:pPr>
      <w:r w:rsidRPr="009E2812">
        <w:rPr>
          <w:i/>
          <w:caps/>
          <w:sz w:val="22"/>
          <w:szCs w:val="22"/>
          <w:lang w:val="uk-UA"/>
        </w:rPr>
        <w:t>Основні відомості про умови договору на проведення аудиту</w:t>
      </w:r>
    </w:p>
    <w:p w:rsidR="00B32EC0" w:rsidRPr="009E2812" w:rsidRDefault="00B32EC0" w:rsidP="002C7EC4">
      <w:pPr>
        <w:rPr>
          <w:b/>
          <w:snapToGrid w:val="0"/>
          <w:sz w:val="22"/>
          <w:szCs w:val="22"/>
          <w:lang w:val="uk-U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4500"/>
      </w:tblGrid>
      <w:tr w:rsidR="00B32EC0" w:rsidRPr="009E2812" w:rsidTr="00A51770">
        <w:tc>
          <w:tcPr>
            <w:tcW w:w="4536" w:type="dxa"/>
          </w:tcPr>
          <w:p w:rsidR="00B32EC0" w:rsidRPr="009E2812" w:rsidRDefault="00B32EC0" w:rsidP="002C7EC4">
            <w:pPr>
              <w:ind w:left="72"/>
              <w:rPr>
                <w:i/>
                <w:sz w:val="22"/>
                <w:szCs w:val="22"/>
                <w:lang w:val="uk-UA"/>
              </w:rPr>
            </w:pPr>
          </w:p>
          <w:p w:rsidR="00B32EC0" w:rsidRPr="009E2812" w:rsidRDefault="00B32EC0" w:rsidP="002C7EC4">
            <w:pPr>
              <w:ind w:left="72"/>
              <w:rPr>
                <w:b/>
                <w:snapToGrid w:val="0"/>
                <w:sz w:val="22"/>
                <w:szCs w:val="22"/>
                <w:lang w:val="uk-UA"/>
              </w:rPr>
            </w:pPr>
            <w:r w:rsidRPr="009E2812">
              <w:rPr>
                <w:i/>
                <w:sz w:val="22"/>
                <w:szCs w:val="22"/>
                <w:lang w:val="uk-UA"/>
              </w:rPr>
              <w:t>Дата та номер договору на проведення аудиту</w:t>
            </w:r>
          </w:p>
        </w:tc>
        <w:tc>
          <w:tcPr>
            <w:tcW w:w="4500" w:type="dxa"/>
          </w:tcPr>
          <w:p w:rsidR="00B32EC0" w:rsidRPr="009E2812" w:rsidRDefault="00B32EC0" w:rsidP="002C7EC4">
            <w:pPr>
              <w:widowControl w:val="0"/>
              <w:jc w:val="both"/>
              <w:rPr>
                <w:sz w:val="22"/>
                <w:szCs w:val="22"/>
                <w:lang w:val="uk-UA"/>
              </w:rPr>
            </w:pPr>
          </w:p>
          <w:p w:rsidR="00B32EC0" w:rsidRPr="009E2812" w:rsidRDefault="00B32EC0" w:rsidP="002C7EC4">
            <w:pPr>
              <w:rPr>
                <w:b/>
                <w:snapToGrid w:val="0"/>
                <w:sz w:val="22"/>
                <w:szCs w:val="22"/>
                <w:lang w:val="uk-UA"/>
              </w:rPr>
            </w:pPr>
            <w:r w:rsidRPr="009E2812">
              <w:rPr>
                <w:sz w:val="22"/>
                <w:szCs w:val="22"/>
                <w:lang w:val="uk-UA"/>
              </w:rPr>
              <w:t xml:space="preserve">Договір </w:t>
            </w:r>
            <w:r w:rsidRPr="009E2812">
              <w:rPr>
                <w:spacing w:val="-3"/>
                <w:sz w:val="22"/>
                <w:szCs w:val="22"/>
                <w:lang w:val="uk-UA"/>
              </w:rPr>
              <w:t>№ 25-02/12-14 від 25.12.2014 р.</w:t>
            </w:r>
          </w:p>
        </w:tc>
      </w:tr>
      <w:tr w:rsidR="00B32EC0" w:rsidRPr="009E2812" w:rsidTr="00A51770">
        <w:tc>
          <w:tcPr>
            <w:tcW w:w="4536" w:type="dxa"/>
          </w:tcPr>
          <w:p w:rsidR="00B32EC0" w:rsidRPr="009E2812" w:rsidRDefault="00B32EC0" w:rsidP="002C7EC4">
            <w:pPr>
              <w:ind w:left="72"/>
              <w:rPr>
                <w:i/>
                <w:sz w:val="22"/>
                <w:szCs w:val="22"/>
                <w:lang w:val="uk-UA"/>
              </w:rPr>
            </w:pPr>
          </w:p>
          <w:p w:rsidR="00B32EC0" w:rsidRPr="009E2812" w:rsidRDefault="00B32EC0" w:rsidP="002C7EC4">
            <w:pPr>
              <w:ind w:left="72"/>
              <w:rPr>
                <w:i/>
                <w:sz w:val="22"/>
                <w:szCs w:val="22"/>
                <w:lang w:val="uk-UA"/>
              </w:rPr>
            </w:pPr>
            <w:r w:rsidRPr="009E2812">
              <w:rPr>
                <w:i/>
                <w:sz w:val="22"/>
                <w:szCs w:val="22"/>
                <w:lang w:val="uk-UA"/>
              </w:rPr>
              <w:t>Дата початку і дата закінчення аудиту</w:t>
            </w:r>
          </w:p>
          <w:p w:rsidR="00B32EC0" w:rsidRPr="009E2812" w:rsidRDefault="00B32EC0" w:rsidP="002C7EC4">
            <w:pPr>
              <w:ind w:left="72"/>
              <w:rPr>
                <w:b/>
                <w:snapToGrid w:val="0"/>
                <w:sz w:val="22"/>
                <w:szCs w:val="22"/>
                <w:lang w:val="uk-UA"/>
              </w:rPr>
            </w:pPr>
          </w:p>
        </w:tc>
        <w:tc>
          <w:tcPr>
            <w:tcW w:w="4500" w:type="dxa"/>
          </w:tcPr>
          <w:p w:rsidR="00B32EC0" w:rsidRPr="009E2812" w:rsidRDefault="00B32EC0" w:rsidP="002C7EC4">
            <w:pPr>
              <w:rPr>
                <w:sz w:val="22"/>
                <w:szCs w:val="22"/>
                <w:lang w:val="uk-UA"/>
              </w:rPr>
            </w:pPr>
          </w:p>
          <w:p w:rsidR="00B32EC0" w:rsidRPr="009E2812" w:rsidRDefault="00B32EC0" w:rsidP="002C7EC4">
            <w:pPr>
              <w:rPr>
                <w:sz w:val="22"/>
                <w:szCs w:val="22"/>
                <w:lang w:val="uk-UA"/>
              </w:rPr>
            </w:pPr>
            <w:r w:rsidRPr="009E2812">
              <w:rPr>
                <w:sz w:val="22"/>
                <w:szCs w:val="22"/>
                <w:lang w:val="uk-UA"/>
              </w:rPr>
              <w:t xml:space="preserve">Аудит розпочатий </w:t>
            </w:r>
            <w:r>
              <w:rPr>
                <w:sz w:val="22"/>
                <w:szCs w:val="22"/>
                <w:lang w:val="uk-UA"/>
              </w:rPr>
              <w:t>2</w:t>
            </w:r>
            <w:r w:rsidRPr="009E2812">
              <w:rPr>
                <w:sz w:val="22"/>
                <w:szCs w:val="22"/>
                <w:lang w:val="uk-UA"/>
              </w:rPr>
              <w:t>1.0</w:t>
            </w:r>
            <w:r>
              <w:rPr>
                <w:sz w:val="22"/>
                <w:szCs w:val="22"/>
                <w:lang w:val="uk-UA"/>
              </w:rPr>
              <w:t>1</w:t>
            </w:r>
            <w:r w:rsidRPr="009E2812">
              <w:rPr>
                <w:sz w:val="22"/>
                <w:szCs w:val="22"/>
                <w:lang w:val="uk-UA"/>
              </w:rPr>
              <w:t>.2015 р.  та закінчений 2</w:t>
            </w:r>
            <w:r>
              <w:rPr>
                <w:sz w:val="22"/>
                <w:szCs w:val="22"/>
                <w:lang w:val="uk-UA"/>
              </w:rPr>
              <w:t>7</w:t>
            </w:r>
            <w:r w:rsidRPr="009E2812">
              <w:rPr>
                <w:sz w:val="22"/>
                <w:szCs w:val="22"/>
                <w:lang w:val="uk-UA"/>
              </w:rPr>
              <w:t>.0</w:t>
            </w:r>
            <w:r>
              <w:rPr>
                <w:sz w:val="22"/>
                <w:szCs w:val="22"/>
                <w:lang w:val="uk-UA"/>
              </w:rPr>
              <w:t>2</w:t>
            </w:r>
            <w:r w:rsidRPr="009E2812">
              <w:rPr>
                <w:sz w:val="22"/>
                <w:szCs w:val="22"/>
                <w:lang w:val="uk-UA"/>
              </w:rPr>
              <w:t>.2015 р.</w:t>
            </w:r>
          </w:p>
          <w:p w:rsidR="00B32EC0" w:rsidRPr="009E2812" w:rsidRDefault="00B32EC0" w:rsidP="002C7EC4">
            <w:pPr>
              <w:rPr>
                <w:b/>
                <w:snapToGrid w:val="0"/>
                <w:sz w:val="22"/>
                <w:szCs w:val="22"/>
                <w:lang w:val="uk-UA"/>
              </w:rPr>
            </w:pPr>
          </w:p>
        </w:tc>
      </w:tr>
    </w:tbl>
    <w:p w:rsidR="00B32EC0" w:rsidRPr="009E2812" w:rsidRDefault="00B32EC0" w:rsidP="002C7EC4">
      <w:pPr>
        <w:ind w:left="708"/>
        <w:rPr>
          <w:b/>
          <w:snapToGrid w:val="0"/>
          <w:sz w:val="22"/>
          <w:szCs w:val="22"/>
          <w:lang w:val="uk-UA"/>
        </w:rPr>
      </w:pPr>
    </w:p>
    <w:p w:rsidR="00B32EC0" w:rsidRPr="009E2812" w:rsidRDefault="00B32EC0" w:rsidP="002C7EC4">
      <w:pPr>
        <w:rPr>
          <w:b/>
          <w:sz w:val="22"/>
          <w:szCs w:val="22"/>
          <w:lang w:val="uk-UA"/>
        </w:rPr>
      </w:pPr>
    </w:p>
    <w:p w:rsidR="00B32EC0" w:rsidRPr="009E2812" w:rsidRDefault="00B32EC0" w:rsidP="002C7EC4">
      <w:pPr>
        <w:rPr>
          <w:b/>
          <w:snapToGrid w:val="0"/>
          <w:sz w:val="22"/>
          <w:szCs w:val="22"/>
          <w:lang w:val="uk-UA"/>
        </w:rPr>
      </w:pPr>
    </w:p>
    <w:p w:rsidR="00B32EC0" w:rsidRPr="009E2812" w:rsidRDefault="00B32EC0" w:rsidP="002C7EC4">
      <w:pPr>
        <w:rPr>
          <w:b/>
          <w:i/>
          <w:sz w:val="22"/>
          <w:szCs w:val="22"/>
          <w:lang w:val="uk-UA"/>
        </w:rPr>
      </w:pPr>
      <w:r w:rsidRPr="009E2812">
        <w:rPr>
          <w:b/>
          <w:snapToGrid w:val="0"/>
          <w:sz w:val="22"/>
          <w:szCs w:val="22"/>
          <w:lang w:val="uk-UA"/>
        </w:rPr>
        <w:t xml:space="preserve">Дата видачі висновку (звіту): </w:t>
      </w:r>
      <w:r w:rsidRPr="009E2812">
        <w:rPr>
          <w:b/>
          <w:i/>
          <w:sz w:val="22"/>
          <w:szCs w:val="22"/>
          <w:lang w:val="uk-UA"/>
        </w:rPr>
        <w:t>2</w:t>
      </w:r>
      <w:r w:rsidRPr="00D379AA">
        <w:rPr>
          <w:b/>
          <w:i/>
          <w:sz w:val="22"/>
          <w:szCs w:val="22"/>
          <w:lang/>
        </w:rPr>
        <w:t>7</w:t>
      </w:r>
      <w:r w:rsidRPr="009E2812">
        <w:rPr>
          <w:b/>
          <w:i/>
          <w:sz w:val="22"/>
          <w:szCs w:val="22"/>
          <w:lang w:val="uk-UA"/>
        </w:rPr>
        <w:t xml:space="preserve"> </w:t>
      </w:r>
      <w:r>
        <w:rPr>
          <w:b/>
          <w:i/>
          <w:sz w:val="22"/>
          <w:szCs w:val="22"/>
          <w:lang w:val="uk-UA"/>
        </w:rPr>
        <w:t>лютого</w:t>
      </w:r>
      <w:r w:rsidRPr="009E2812">
        <w:rPr>
          <w:b/>
          <w:i/>
          <w:sz w:val="22"/>
          <w:szCs w:val="22"/>
          <w:lang w:val="uk-UA"/>
        </w:rPr>
        <w:t xml:space="preserve"> 2015 року</w:t>
      </w:r>
    </w:p>
    <w:p w:rsidR="00B32EC0" w:rsidRPr="009E2812" w:rsidRDefault="00B32EC0" w:rsidP="002C7EC4">
      <w:pPr>
        <w:rPr>
          <w:b/>
          <w:sz w:val="22"/>
          <w:szCs w:val="22"/>
          <w:lang w:val="uk-UA"/>
        </w:rPr>
      </w:pPr>
      <w:r w:rsidRPr="009E2812">
        <w:rPr>
          <w:b/>
          <w:i/>
          <w:sz w:val="22"/>
          <w:szCs w:val="22"/>
          <w:lang w:val="uk-UA"/>
        </w:rPr>
        <w:t>Київ, Україна</w:t>
      </w:r>
    </w:p>
    <w:p w:rsidR="00B32EC0" w:rsidRPr="009E2812" w:rsidRDefault="00B32EC0" w:rsidP="002C7EC4">
      <w:pPr>
        <w:rPr>
          <w:b/>
          <w:sz w:val="24"/>
          <w:szCs w:val="24"/>
          <w:lang w:val="uk-UA"/>
        </w:rPr>
      </w:pPr>
    </w:p>
    <w:p w:rsidR="00B32EC0" w:rsidRPr="009E2812" w:rsidRDefault="00B32EC0" w:rsidP="002C7EC4">
      <w:pPr>
        <w:rPr>
          <w:b/>
          <w:sz w:val="24"/>
          <w:szCs w:val="24"/>
          <w:lang w:val="uk-UA"/>
        </w:rPr>
      </w:pPr>
    </w:p>
    <w:p w:rsidR="00B32EC0" w:rsidRPr="009E2812" w:rsidRDefault="00B32EC0" w:rsidP="002C7EC4">
      <w:pPr>
        <w:rPr>
          <w:b/>
          <w:sz w:val="24"/>
          <w:szCs w:val="24"/>
          <w:lang w:val="uk-UA"/>
        </w:rPr>
      </w:pPr>
      <w:r w:rsidRPr="009E2812">
        <w:rPr>
          <w:b/>
          <w:sz w:val="24"/>
          <w:szCs w:val="24"/>
          <w:lang w:val="uk-UA"/>
        </w:rPr>
        <w:t xml:space="preserve">Генеральний директор, </w:t>
      </w:r>
      <w:r w:rsidRPr="009E2812">
        <w:rPr>
          <w:b/>
          <w:i/>
          <w:sz w:val="24"/>
          <w:szCs w:val="24"/>
          <w:lang w:val="uk-UA"/>
        </w:rPr>
        <w:t>С А Р</w:t>
      </w:r>
      <w:r w:rsidRPr="009E2812">
        <w:rPr>
          <w:b/>
          <w:i/>
          <w:sz w:val="24"/>
          <w:szCs w:val="24"/>
          <w:lang w:val="uk-UA"/>
        </w:rPr>
        <w:tab/>
      </w:r>
      <w:r w:rsidRPr="009E2812">
        <w:rPr>
          <w:sz w:val="24"/>
          <w:szCs w:val="24"/>
          <w:lang w:val="uk-UA"/>
        </w:rPr>
        <w:tab/>
      </w:r>
      <w:r w:rsidRPr="009E2812">
        <w:rPr>
          <w:sz w:val="24"/>
          <w:szCs w:val="24"/>
          <w:lang w:val="uk-UA"/>
        </w:rPr>
        <w:tab/>
      </w:r>
      <w:r w:rsidRPr="009E2812">
        <w:rPr>
          <w:sz w:val="24"/>
          <w:szCs w:val="24"/>
          <w:lang w:val="uk-UA"/>
        </w:rPr>
        <w:tab/>
      </w:r>
      <w:r w:rsidRPr="009E2812">
        <w:rPr>
          <w:sz w:val="24"/>
          <w:szCs w:val="24"/>
          <w:lang w:val="uk-UA"/>
        </w:rPr>
        <w:tab/>
      </w:r>
      <w:r w:rsidRPr="009E2812">
        <w:rPr>
          <w:sz w:val="24"/>
          <w:szCs w:val="24"/>
          <w:lang w:val="uk-UA"/>
        </w:rPr>
        <w:tab/>
      </w:r>
      <w:r w:rsidRPr="009E2812">
        <w:rPr>
          <w:sz w:val="24"/>
          <w:szCs w:val="24"/>
          <w:lang w:val="uk-UA"/>
        </w:rPr>
        <w:tab/>
      </w:r>
      <w:r w:rsidRPr="009E2812">
        <w:rPr>
          <w:b/>
          <w:sz w:val="24"/>
          <w:szCs w:val="24"/>
          <w:lang w:val="uk-UA"/>
        </w:rPr>
        <w:t>Ліщенко Т. В.</w:t>
      </w:r>
    </w:p>
    <w:p w:rsidR="00B32EC0" w:rsidRPr="009E2812" w:rsidRDefault="00B32EC0" w:rsidP="002C7EC4">
      <w:pPr>
        <w:rPr>
          <w:b/>
          <w:i/>
          <w:sz w:val="24"/>
          <w:szCs w:val="24"/>
          <w:lang w:val="uk-UA"/>
        </w:rPr>
      </w:pPr>
      <w:r w:rsidRPr="009E2812">
        <w:rPr>
          <w:b/>
          <w:bCs/>
          <w:i/>
          <w:lang w:val="uk-UA"/>
        </w:rPr>
        <w:t xml:space="preserve">Сертифікат АПУ серії А№ 004540 від 23.02.01р.  </w:t>
      </w:r>
    </w:p>
    <w:p w:rsidR="00B32EC0" w:rsidRPr="009E2812" w:rsidRDefault="00B32EC0" w:rsidP="002C7EC4">
      <w:pPr>
        <w:rPr>
          <w:sz w:val="24"/>
          <w:szCs w:val="24"/>
          <w:lang w:val="uk-UA" w:eastAsia="uk-UA"/>
        </w:rPr>
      </w:pPr>
      <w:r w:rsidRPr="009E2812">
        <w:rPr>
          <w:b/>
          <w:bCs/>
          <w:i/>
          <w:lang w:val="uk-UA"/>
        </w:rPr>
        <w:t>Сертифікат ICCAA № 0001852 від 15.04.2004 р.</w:t>
      </w:r>
    </w:p>
    <w:sectPr w:rsidR="00B32EC0" w:rsidRPr="009E2812" w:rsidSect="00275793">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418" w:header="414"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EC0" w:rsidRDefault="00B32EC0" w:rsidP="001053F6">
      <w:r>
        <w:separator/>
      </w:r>
    </w:p>
  </w:endnote>
  <w:endnote w:type="continuationSeparator" w:id="0">
    <w:p w:rsidR="00B32EC0" w:rsidRDefault="00B32EC0" w:rsidP="001053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zhits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C0" w:rsidRDefault="00B32EC0" w:rsidP="002757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2EC0" w:rsidRDefault="00B32EC0" w:rsidP="00275793">
    <w:pPr>
      <w:pStyle w:val="Footer"/>
      <w:tabs>
        <w:tab w:val="center" w:pos="4320"/>
        <w:tab w:val="right" w:pos="8640"/>
      </w:tabs>
      <w:ind w:right="360"/>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C0" w:rsidRDefault="00B32EC0" w:rsidP="002757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B32EC0" w:rsidRPr="00153116" w:rsidRDefault="00B32EC0" w:rsidP="00275793">
    <w:pPr>
      <w:tabs>
        <w:tab w:val="center" w:pos="4153"/>
        <w:tab w:val="right" w:pos="8306"/>
      </w:tabs>
      <w:suppressAutoHyphens/>
      <w:ind w:right="360"/>
      <w:rPr>
        <w:rFonts w:ascii="Georgia" w:hAnsi="Georgia" w:cs="Georgia"/>
        <w:b/>
        <w:i/>
        <w:sz w:val="16"/>
        <w:lang w:val="uk-UA" w:eastAsia="zh-CN"/>
      </w:rPr>
    </w:pPr>
    <w:r>
      <w:rPr>
        <w:noProof/>
        <w:lang w:val="en-US" w:eastAsia="en-US"/>
      </w:rPr>
      <w:pict>
        <v:shapetype id="_x0000_t202" coordsize="21600,21600" o:spt="202" path="m,l,21600r21600,l21600,xe">
          <v:stroke joinstyle="miter"/>
          <v:path gradientshapeok="t" o:connecttype="rect"/>
        </v:shapetype>
        <v:shape id="Text Box 1" o:spid="_x0000_s2049" type="#_x0000_t202" style="position:absolute;margin-left:483.45pt;margin-top:.05pt;width:69.2pt;height:11.4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GKiAIAABs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" stroked="f">
          <v:fill opacity="0"/>
          <v:textbox inset="0,0,0,0">
            <w:txbxContent>
              <w:p w:rsidR="00B32EC0" w:rsidRDefault="00B32EC0" w:rsidP="00275793">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xbxContent>
          </v:textbox>
          <w10:wrap type="square" side="largest" anchorx="page"/>
        </v:shape>
      </w:pict>
    </w:r>
    <w:r w:rsidRPr="00153116">
      <w:rPr>
        <w:b/>
        <w:sz w:val="14"/>
        <w:szCs w:val="14"/>
        <w:lang w:val="uk-UA" w:eastAsia="zh-CN"/>
      </w:rPr>
      <w:t>_______________________________________________________________________________________________________________________________</w:t>
    </w:r>
  </w:p>
  <w:p w:rsidR="00B32EC0" w:rsidRPr="00153116" w:rsidRDefault="00B32EC0" w:rsidP="00275793">
    <w:pPr>
      <w:tabs>
        <w:tab w:val="center" w:pos="4153"/>
        <w:tab w:val="right" w:pos="8306"/>
      </w:tabs>
      <w:suppressAutoHyphens/>
      <w:ind w:right="360"/>
      <w:jc w:val="center"/>
      <w:rPr>
        <w:lang w:eastAsia="zh-CN"/>
      </w:rPr>
    </w:pPr>
    <w:r w:rsidRPr="00153116">
      <w:rPr>
        <w:rFonts w:ascii="Georgia" w:hAnsi="Georgia" w:cs="Georgia"/>
        <w:b/>
        <w:i/>
        <w:sz w:val="16"/>
        <w:lang w:val="uk-UA" w:eastAsia="zh-CN"/>
      </w:rPr>
      <w:t>ТОВ</w:t>
    </w:r>
    <w:r w:rsidRPr="00153116">
      <w:rPr>
        <w:rFonts w:ascii="Georgia" w:hAnsi="Georgia" w:cs="Georgia"/>
        <w:b/>
        <w:i/>
        <w:sz w:val="16"/>
        <w:lang w:eastAsia="zh-CN"/>
      </w:rPr>
      <w:t xml:space="preserve"> </w:t>
    </w:r>
    <w:r w:rsidRPr="00153116">
      <w:rPr>
        <w:rFonts w:ascii="Georgia" w:hAnsi="Georgia" w:cs="Georgia"/>
        <w:b/>
        <w:i/>
        <w:sz w:val="16"/>
        <w:lang w:val="uk-UA" w:eastAsia="zh-CN"/>
      </w:rPr>
      <w:t>«Аудиторська фірма «БЛИСКОР ГАРАНТ» (Свідоцтво АПУ № 0218)</w:t>
    </w:r>
  </w:p>
  <w:p w:rsidR="00B32EC0" w:rsidRPr="00153116" w:rsidRDefault="00B32EC0" w:rsidP="00275793">
    <w:pPr>
      <w:tabs>
        <w:tab w:val="center" w:pos="4153"/>
        <w:tab w:val="right" w:pos="8306"/>
      </w:tabs>
      <w:suppressAutoHyphens/>
      <w:ind w:right="360"/>
      <w:jc w:val="center"/>
      <w:rPr>
        <w:sz w:val="6"/>
        <w:szCs w:val="6"/>
        <w:lang w:eastAsia="zh-CN"/>
      </w:rPr>
    </w:pPr>
    <w:hyperlink r:id="rId1" w:history="1">
      <w:r w:rsidRPr="00153116">
        <w:rPr>
          <w:rFonts w:ascii="Georgia" w:hAnsi="Georgia" w:cs="Georgia"/>
          <w:b/>
          <w:i/>
          <w:color w:val="0000FF"/>
          <w:sz w:val="16"/>
          <w:u w:val="single"/>
          <w:lang w:val="en-US" w:eastAsia="zh-CN"/>
        </w:rPr>
        <w:t>www</w:t>
      </w:r>
      <w:r w:rsidRPr="00153116">
        <w:rPr>
          <w:rFonts w:ascii="Georgia" w:hAnsi="Georgia" w:cs="Georgia"/>
          <w:b/>
          <w:i/>
          <w:color w:val="0000FF"/>
          <w:sz w:val="16"/>
          <w:u w:val="single"/>
          <w:lang w:val="uk-UA" w:eastAsia="zh-CN"/>
        </w:rPr>
        <w:t>.</w:t>
      </w:r>
      <w:r w:rsidRPr="00153116">
        <w:rPr>
          <w:rFonts w:ascii="Georgia" w:hAnsi="Georgia" w:cs="Georgia"/>
          <w:b/>
          <w:i/>
          <w:color w:val="0000FF"/>
          <w:sz w:val="16"/>
          <w:u w:val="single"/>
          <w:lang w:val="en-US" w:eastAsia="zh-CN"/>
        </w:rPr>
        <w:t>bliscorgarant</w:t>
      </w:r>
      <w:r w:rsidRPr="00153116">
        <w:rPr>
          <w:rFonts w:ascii="Georgia" w:hAnsi="Georgia" w:cs="Georgia"/>
          <w:b/>
          <w:i/>
          <w:color w:val="0000FF"/>
          <w:sz w:val="16"/>
          <w:u w:val="single"/>
          <w:lang w:val="uk-UA" w:eastAsia="zh-CN"/>
        </w:rPr>
        <w:t>.</w:t>
      </w:r>
      <w:r w:rsidRPr="00153116">
        <w:rPr>
          <w:rFonts w:ascii="Georgia" w:hAnsi="Georgia" w:cs="Georgia"/>
          <w:b/>
          <w:i/>
          <w:color w:val="0000FF"/>
          <w:sz w:val="16"/>
          <w:u w:val="single"/>
          <w:lang w:val="en-US" w:eastAsia="zh-CN"/>
        </w:rPr>
        <w:t>com</w:t>
      </w:r>
    </w:hyperlink>
    <w:r w:rsidRPr="00153116">
      <w:rPr>
        <w:rFonts w:ascii="Georgia" w:hAnsi="Georgia" w:cs="Georgia"/>
        <w:b/>
        <w:i/>
        <w:sz w:val="16"/>
        <w:lang w:val="en-US" w:eastAsia="zh-CN"/>
      </w:rPr>
      <w:t xml:space="preserve"> </w:t>
    </w:r>
  </w:p>
  <w:p w:rsidR="00B32EC0" w:rsidRDefault="00B32EC0" w:rsidP="00275793">
    <w:pPr>
      <w:pStyle w:val="Footer"/>
      <w:tabs>
        <w:tab w:val="center" w:pos="4320"/>
        <w:tab w:val="right" w:pos="8640"/>
      </w:tabs>
      <w:ind w:right="360"/>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C0" w:rsidRDefault="00B32EC0">
    <w:pPr>
      <w:pStyle w:val="Footer"/>
      <w:tabs>
        <w:tab w:val="center" w:pos="4320"/>
        <w:tab w:val="right" w:pos="8640"/>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EC0" w:rsidRDefault="00B32EC0" w:rsidP="001053F6">
      <w:r>
        <w:separator/>
      </w:r>
    </w:p>
  </w:footnote>
  <w:footnote w:type="continuationSeparator" w:id="0">
    <w:p w:rsidR="00B32EC0" w:rsidRDefault="00B32EC0" w:rsidP="00105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C0" w:rsidRDefault="00B32EC0">
    <w:pPr>
      <w:pStyle w:val="Header"/>
      <w:tabs>
        <w:tab w:val="center" w:pos="4320"/>
        <w:tab w:val="right" w:pos="8640"/>
      </w:tabs>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C0" w:rsidRDefault="00B32EC0">
    <w:pPr>
      <w:pStyle w:val="Header"/>
      <w:tabs>
        <w:tab w:val="center" w:pos="4320"/>
        <w:tab w:val="right" w:pos="8640"/>
      </w:tabs>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C0" w:rsidRDefault="00B32EC0">
    <w:pPr>
      <w:pStyle w:val="Header"/>
      <w:tabs>
        <w:tab w:val="center" w:pos="4320"/>
        <w:tab w:val="right" w:pos="864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0"/>
        </w:tabs>
        <w:ind w:left="2136" w:hanging="360"/>
      </w:pPr>
      <w:rPr>
        <w:rFonts w:ascii="Wingdings" w:hAnsi="Wingdings"/>
      </w:rPr>
    </w:lvl>
  </w:abstractNum>
  <w:abstractNum w:abstractNumId="1">
    <w:nsid w:val="0000000F"/>
    <w:multiLevelType w:val="multilevel"/>
    <w:tmpl w:val="58C4B970"/>
    <w:name w:val="WW8Num27"/>
    <w:lvl w:ilvl="0">
      <w:start w:val="1"/>
      <w:numFmt w:val="decimal"/>
      <w:lvlText w:val="%1."/>
      <w:lvlJc w:val="left"/>
      <w:pPr>
        <w:tabs>
          <w:tab w:val="num" w:pos="720"/>
        </w:tabs>
        <w:ind w:left="720" w:hanging="360"/>
      </w:pPr>
      <w:rPr>
        <w:rFonts w:cs="Times New Roman"/>
        <w:b/>
        <w:i/>
        <w:caps/>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ind w:left="2880" w:hanging="360"/>
      </w:pPr>
      <w:rPr>
        <w:rFonts w:ascii="Times New Roman" w:eastAsia="Times New Roman" w:hAnsi="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2720249"/>
    <w:multiLevelType w:val="hybridMultilevel"/>
    <w:tmpl w:val="07A23DA4"/>
    <w:lvl w:ilvl="0" w:tplc="90F2F934">
      <w:numFmt w:val="bullet"/>
      <w:lvlText w:val="-"/>
      <w:lvlJc w:val="left"/>
      <w:pPr>
        <w:ind w:left="1068" w:hanging="360"/>
      </w:pPr>
      <w:rPr>
        <w:rFonts w:ascii="Arial" w:eastAsia="Times New Roman" w:hAnsi="Aria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92F077D"/>
    <w:multiLevelType w:val="hybridMultilevel"/>
    <w:tmpl w:val="0DF6DD8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EA5001E"/>
    <w:multiLevelType w:val="multilevel"/>
    <w:tmpl w:val="9DC4FB0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i w:val="0"/>
      </w:rPr>
    </w:lvl>
    <w:lvl w:ilvl="2">
      <w:start w:val="1"/>
      <w:numFmt w:val="decimal"/>
      <w:isLgl/>
      <w:lvlText w:val="%1.%2.%3."/>
      <w:lvlJc w:val="left"/>
      <w:pPr>
        <w:ind w:left="1800" w:hanging="720"/>
      </w:pPr>
      <w:rPr>
        <w:rFonts w:cs="Times New Roman" w:hint="default"/>
        <w:b/>
        <w:i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1A46212A"/>
    <w:multiLevelType w:val="hybridMultilevel"/>
    <w:tmpl w:val="E73EFD4E"/>
    <w:lvl w:ilvl="0" w:tplc="0419000D">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9E72F9C"/>
    <w:multiLevelType w:val="multilevel"/>
    <w:tmpl w:val="A29CB7D4"/>
    <w:lvl w:ilvl="0">
      <w:start w:val="1"/>
      <w:numFmt w:val="decimal"/>
      <w:lvlText w:val="%1."/>
      <w:lvlJc w:val="left"/>
      <w:pPr>
        <w:ind w:left="3763" w:hanging="360"/>
      </w:pPr>
      <w:rPr>
        <w:rFonts w:ascii="Arial" w:hAnsi="Arial" w:cs="Times New Roman" w:hint="default"/>
        <w:b/>
        <w:i w:val="0"/>
        <w:caps w:val="0"/>
        <w:strike w:val="0"/>
        <w:dstrike w:val="0"/>
        <w:vanish w:val="0"/>
        <w:sz w:val="24"/>
        <w:vertAlign w:val="baseline"/>
      </w:rPr>
    </w:lvl>
    <w:lvl w:ilvl="1">
      <w:start w:val="1"/>
      <w:numFmt w:val="decimal"/>
      <w:isLgl/>
      <w:lvlText w:val="%1.%2."/>
      <w:lvlJc w:val="left"/>
      <w:pPr>
        <w:ind w:left="720" w:hanging="360"/>
      </w:pPr>
      <w:rPr>
        <w:rFonts w:cs="Times New Roman" w:hint="default"/>
        <w:b/>
        <w:i w:val="0"/>
        <w:caps w:val="0"/>
        <w:strike w:val="0"/>
        <w:dstrike w:val="0"/>
        <w:vanish w:val="0"/>
        <w:sz w:val="22"/>
        <w:szCs w:val="22"/>
        <w:vertAlign w:val="baseline"/>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A483D5B"/>
    <w:multiLevelType w:val="hybridMultilevel"/>
    <w:tmpl w:val="B7B4E88A"/>
    <w:lvl w:ilvl="0" w:tplc="04190001">
      <w:start w:val="1"/>
      <w:numFmt w:val="bullet"/>
      <w:lvlText w:val=""/>
      <w:lvlJc w:val="left"/>
      <w:pPr>
        <w:tabs>
          <w:tab w:val="num" w:pos="1080"/>
        </w:tabs>
        <w:ind w:left="1080" w:hanging="360"/>
      </w:pPr>
      <w:rPr>
        <w:rFonts w:ascii="Symbol" w:hAnsi="Symbol" w:hint="default"/>
      </w:rPr>
    </w:lvl>
    <w:lvl w:ilvl="1" w:tplc="9488B4A2">
      <w:start w:val="1"/>
      <w:numFmt w:val="decimal"/>
      <w:lvlText w:val="%2)"/>
      <w:lvlJc w:val="left"/>
      <w:pPr>
        <w:tabs>
          <w:tab w:val="num" w:pos="1800"/>
        </w:tabs>
        <w:ind w:left="1800" w:hanging="360"/>
      </w:pPr>
      <w:rPr>
        <w:rFonts w:cs="Times New Roman" w:hint="default"/>
        <w:b w:val="0"/>
        <w:i w:val="0"/>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
    <w:nsid w:val="2C934E4C"/>
    <w:multiLevelType w:val="hybridMultilevel"/>
    <w:tmpl w:val="07C2EB6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6DC6641"/>
    <w:multiLevelType w:val="multilevel"/>
    <w:tmpl w:val="9DC4FB0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i w:val="0"/>
      </w:rPr>
    </w:lvl>
    <w:lvl w:ilvl="2">
      <w:start w:val="1"/>
      <w:numFmt w:val="decimal"/>
      <w:isLgl/>
      <w:lvlText w:val="%1.%2.%3."/>
      <w:lvlJc w:val="left"/>
      <w:pPr>
        <w:ind w:left="1800" w:hanging="720"/>
      </w:pPr>
      <w:rPr>
        <w:rFonts w:cs="Times New Roman" w:hint="default"/>
        <w:b/>
        <w:i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CD27A61"/>
    <w:multiLevelType w:val="multilevel"/>
    <w:tmpl w:val="9DC4FB0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i w:val="0"/>
      </w:rPr>
    </w:lvl>
    <w:lvl w:ilvl="2">
      <w:start w:val="1"/>
      <w:numFmt w:val="decimal"/>
      <w:isLgl/>
      <w:lvlText w:val="%1.%2.%3."/>
      <w:lvlJc w:val="left"/>
      <w:pPr>
        <w:ind w:left="1800" w:hanging="720"/>
      </w:pPr>
      <w:rPr>
        <w:rFonts w:cs="Times New Roman" w:hint="default"/>
        <w:b/>
        <w:i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4FF7093A"/>
    <w:multiLevelType w:val="hybridMultilevel"/>
    <w:tmpl w:val="4C82879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96B1C17"/>
    <w:multiLevelType w:val="hybridMultilevel"/>
    <w:tmpl w:val="A7FAA70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311FFF"/>
    <w:multiLevelType w:val="hybridMultilevel"/>
    <w:tmpl w:val="7C625A64"/>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119549B"/>
    <w:multiLevelType w:val="hybridMultilevel"/>
    <w:tmpl w:val="23223CB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30D27BF"/>
    <w:multiLevelType w:val="hybridMultilevel"/>
    <w:tmpl w:val="FBA8096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49316DD"/>
    <w:multiLevelType w:val="hybridMultilevel"/>
    <w:tmpl w:val="D2EEA638"/>
    <w:lvl w:ilvl="0" w:tplc="F69EB88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BC94C57"/>
    <w:multiLevelType w:val="hybridMultilevel"/>
    <w:tmpl w:val="CEEA944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71F768DF"/>
    <w:multiLevelType w:val="hybridMultilevel"/>
    <w:tmpl w:val="F21472E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7AB84917"/>
    <w:multiLevelType w:val="hybridMultilevel"/>
    <w:tmpl w:val="A5AC2ED2"/>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3"/>
  </w:num>
  <w:num w:numId="4">
    <w:abstractNumId w:val="15"/>
  </w:num>
  <w:num w:numId="5">
    <w:abstractNumId w:val="5"/>
  </w:num>
  <w:num w:numId="6">
    <w:abstractNumId w:val="18"/>
  </w:num>
  <w:num w:numId="7">
    <w:abstractNumId w:val="17"/>
  </w:num>
  <w:num w:numId="8">
    <w:abstractNumId w:val="19"/>
  </w:num>
  <w:num w:numId="9">
    <w:abstractNumId w:val="14"/>
  </w:num>
  <w:num w:numId="10">
    <w:abstractNumId w:val="13"/>
  </w:num>
  <w:num w:numId="11">
    <w:abstractNumId w:val="8"/>
  </w:num>
  <w:num w:numId="12">
    <w:abstractNumId w:val="2"/>
  </w:num>
  <w:num w:numId="13">
    <w:abstractNumId w:val="4"/>
  </w:num>
  <w:num w:numId="14">
    <w:abstractNumId w:val="12"/>
  </w:num>
  <w:num w:numId="15">
    <w:abstractNumId w:val="10"/>
  </w:num>
  <w:num w:numId="16">
    <w:abstractNumId w:val="9"/>
  </w:num>
  <w:num w:numId="17">
    <w:abstractNumId w:val="16"/>
  </w:num>
  <w:num w:numId="18">
    <w:abstractNumId w:val="7"/>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D68"/>
    <w:rsid w:val="00000379"/>
    <w:rsid w:val="00003D51"/>
    <w:rsid w:val="000065E1"/>
    <w:rsid w:val="000101E7"/>
    <w:rsid w:val="000101F1"/>
    <w:rsid w:val="0001321D"/>
    <w:rsid w:val="00013B80"/>
    <w:rsid w:val="000144A7"/>
    <w:rsid w:val="000176A8"/>
    <w:rsid w:val="00021609"/>
    <w:rsid w:val="00024EC9"/>
    <w:rsid w:val="0002587D"/>
    <w:rsid w:val="00026AB4"/>
    <w:rsid w:val="00034A8F"/>
    <w:rsid w:val="000352C7"/>
    <w:rsid w:val="0003687C"/>
    <w:rsid w:val="0003701C"/>
    <w:rsid w:val="00043C28"/>
    <w:rsid w:val="0004441A"/>
    <w:rsid w:val="00046DA2"/>
    <w:rsid w:val="000471D6"/>
    <w:rsid w:val="00047E69"/>
    <w:rsid w:val="000551C4"/>
    <w:rsid w:val="00060037"/>
    <w:rsid w:val="00062518"/>
    <w:rsid w:val="00063187"/>
    <w:rsid w:val="000663A4"/>
    <w:rsid w:val="000724CA"/>
    <w:rsid w:val="000731FD"/>
    <w:rsid w:val="00074DCF"/>
    <w:rsid w:val="00074EBF"/>
    <w:rsid w:val="00075092"/>
    <w:rsid w:val="000776C2"/>
    <w:rsid w:val="0008150A"/>
    <w:rsid w:val="00084870"/>
    <w:rsid w:val="00086E25"/>
    <w:rsid w:val="00091B1E"/>
    <w:rsid w:val="0009239D"/>
    <w:rsid w:val="000944D4"/>
    <w:rsid w:val="0009572A"/>
    <w:rsid w:val="0009671D"/>
    <w:rsid w:val="000A03BB"/>
    <w:rsid w:val="000A22EB"/>
    <w:rsid w:val="000B0197"/>
    <w:rsid w:val="000B0A66"/>
    <w:rsid w:val="000B24DB"/>
    <w:rsid w:val="000B2E27"/>
    <w:rsid w:val="000C17DB"/>
    <w:rsid w:val="000C1B6D"/>
    <w:rsid w:val="000C3C87"/>
    <w:rsid w:val="000C7701"/>
    <w:rsid w:val="000D131F"/>
    <w:rsid w:val="000D3B74"/>
    <w:rsid w:val="000D5E88"/>
    <w:rsid w:val="000D7196"/>
    <w:rsid w:val="000D7A23"/>
    <w:rsid w:val="000E0F7E"/>
    <w:rsid w:val="000E1C49"/>
    <w:rsid w:val="000F1499"/>
    <w:rsid w:val="000F656A"/>
    <w:rsid w:val="00100346"/>
    <w:rsid w:val="001020F9"/>
    <w:rsid w:val="001026AA"/>
    <w:rsid w:val="00102EC2"/>
    <w:rsid w:val="001033C9"/>
    <w:rsid w:val="00103E7E"/>
    <w:rsid w:val="001053F6"/>
    <w:rsid w:val="00105CEF"/>
    <w:rsid w:val="00105D28"/>
    <w:rsid w:val="00106765"/>
    <w:rsid w:val="00111678"/>
    <w:rsid w:val="001117CA"/>
    <w:rsid w:val="00111C43"/>
    <w:rsid w:val="001148EC"/>
    <w:rsid w:val="00115F65"/>
    <w:rsid w:val="00116183"/>
    <w:rsid w:val="00116339"/>
    <w:rsid w:val="001170C5"/>
    <w:rsid w:val="00123DEF"/>
    <w:rsid w:val="00125AEF"/>
    <w:rsid w:val="00125D5D"/>
    <w:rsid w:val="00127D64"/>
    <w:rsid w:val="00134A2D"/>
    <w:rsid w:val="00135086"/>
    <w:rsid w:val="001374BF"/>
    <w:rsid w:val="00140717"/>
    <w:rsid w:val="00141A27"/>
    <w:rsid w:val="00144164"/>
    <w:rsid w:val="001444D4"/>
    <w:rsid w:val="00144535"/>
    <w:rsid w:val="00144751"/>
    <w:rsid w:val="00153116"/>
    <w:rsid w:val="00153FB5"/>
    <w:rsid w:val="00154CAB"/>
    <w:rsid w:val="00156A71"/>
    <w:rsid w:val="00156CFB"/>
    <w:rsid w:val="0015782E"/>
    <w:rsid w:val="00164B19"/>
    <w:rsid w:val="0016524C"/>
    <w:rsid w:val="0017088A"/>
    <w:rsid w:val="001714E2"/>
    <w:rsid w:val="001743A8"/>
    <w:rsid w:val="00175386"/>
    <w:rsid w:val="00177D95"/>
    <w:rsid w:val="001808CA"/>
    <w:rsid w:val="001823F0"/>
    <w:rsid w:val="00183823"/>
    <w:rsid w:val="001856DB"/>
    <w:rsid w:val="001910E7"/>
    <w:rsid w:val="0019182B"/>
    <w:rsid w:val="00194774"/>
    <w:rsid w:val="001949EB"/>
    <w:rsid w:val="00195B6F"/>
    <w:rsid w:val="00195C08"/>
    <w:rsid w:val="00195EFE"/>
    <w:rsid w:val="00197727"/>
    <w:rsid w:val="001A1E80"/>
    <w:rsid w:val="001B0B33"/>
    <w:rsid w:val="001B12E0"/>
    <w:rsid w:val="001B63FE"/>
    <w:rsid w:val="001C0010"/>
    <w:rsid w:val="001C3318"/>
    <w:rsid w:val="001C3935"/>
    <w:rsid w:val="001C6301"/>
    <w:rsid w:val="001D011F"/>
    <w:rsid w:val="001D1C60"/>
    <w:rsid w:val="001D1FE8"/>
    <w:rsid w:val="001D273B"/>
    <w:rsid w:val="001D390B"/>
    <w:rsid w:val="001D40A1"/>
    <w:rsid w:val="001D676C"/>
    <w:rsid w:val="001E0F9D"/>
    <w:rsid w:val="001E5881"/>
    <w:rsid w:val="001E70E5"/>
    <w:rsid w:val="001E7E9E"/>
    <w:rsid w:val="001F06B9"/>
    <w:rsid w:val="001F2CD2"/>
    <w:rsid w:val="001F44F0"/>
    <w:rsid w:val="002013AB"/>
    <w:rsid w:val="002076B4"/>
    <w:rsid w:val="00207C51"/>
    <w:rsid w:val="0021604F"/>
    <w:rsid w:val="00216340"/>
    <w:rsid w:val="002169C9"/>
    <w:rsid w:val="00217282"/>
    <w:rsid w:val="00220B1D"/>
    <w:rsid w:val="00220B5D"/>
    <w:rsid w:val="00220CA2"/>
    <w:rsid w:val="002223A6"/>
    <w:rsid w:val="00223275"/>
    <w:rsid w:val="00223D72"/>
    <w:rsid w:val="0022596A"/>
    <w:rsid w:val="00226A88"/>
    <w:rsid w:val="00227D63"/>
    <w:rsid w:val="00230B7C"/>
    <w:rsid w:val="00233E7A"/>
    <w:rsid w:val="0024211C"/>
    <w:rsid w:val="0024411C"/>
    <w:rsid w:val="00244F32"/>
    <w:rsid w:val="00245A9E"/>
    <w:rsid w:val="002468C9"/>
    <w:rsid w:val="00246BC5"/>
    <w:rsid w:val="002475DD"/>
    <w:rsid w:val="00250BE9"/>
    <w:rsid w:val="00253961"/>
    <w:rsid w:val="00257E84"/>
    <w:rsid w:val="00261E72"/>
    <w:rsid w:val="00275793"/>
    <w:rsid w:val="0027699D"/>
    <w:rsid w:val="002803C5"/>
    <w:rsid w:val="002831B6"/>
    <w:rsid w:val="002836E3"/>
    <w:rsid w:val="002864D4"/>
    <w:rsid w:val="00287C6B"/>
    <w:rsid w:val="00293B34"/>
    <w:rsid w:val="00295575"/>
    <w:rsid w:val="002968D8"/>
    <w:rsid w:val="00297072"/>
    <w:rsid w:val="00297BA7"/>
    <w:rsid w:val="002A0163"/>
    <w:rsid w:val="002A341E"/>
    <w:rsid w:val="002A5420"/>
    <w:rsid w:val="002A68FA"/>
    <w:rsid w:val="002A74E2"/>
    <w:rsid w:val="002B5803"/>
    <w:rsid w:val="002B680A"/>
    <w:rsid w:val="002C0688"/>
    <w:rsid w:val="002C06BA"/>
    <w:rsid w:val="002C21EC"/>
    <w:rsid w:val="002C642E"/>
    <w:rsid w:val="002C7EC4"/>
    <w:rsid w:val="002D2899"/>
    <w:rsid w:val="002D4913"/>
    <w:rsid w:val="002D56F8"/>
    <w:rsid w:val="002D5CEB"/>
    <w:rsid w:val="002D63A3"/>
    <w:rsid w:val="002D6860"/>
    <w:rsid w:val="002E039B"/>
    <w:rsid w:val="002E1CB5"/>
    <w:rsid w:val="002E42E9"/>
    <w:rsid w:val="002E5140"/>
    <w:rsid w:val="002E5219"/>
    <w:rsid w:val="002E5E92"/>
    <w:rsid w:val="002E6BD5"/>
    <w:rsid w:val="002F1B02"/>
    <w:rsid w:val="002F38D0"/>
    <w:rsid w:val="002F4AC5"/>
    <w:rsid w:val="002F5FBD"/>
    <w:rsid w:val="002F6569"/>
    <w:rsid w:val="002F7217"/>
    <w:rsid w:val="003001E3"/>
    <w:rsid w:val="00300DE2"/>
    <w:rsid w:val="00302BAC"/>
    <w:rsid w:val="003034A3"/>
    <w:rsid w:val="00303A34"/>
    <w:rsid w:val="00305099"/>
    <w:rsid w:val="00305904"/>
    <w:rsid w:val="00306C7F"/>
    <w:rsid w:val="00310105"/>
    <w:rsid w:val="00313033"/>
    <w:rsid w:val="00313850"/>
    <w:rsid w:val="00313A97"/>
    <w:rsid w:val="003204B8"/>
    <w:rsid w:val="00323317"/>
    <w:rsid w:val="00324006"/>
    <w:rsid w:val="00327BA0"/>
    <w:rsid w:val="0033046A"/>
    <w:rsid w:val="0033469B"/>
    <w:rsid w:val="003352CE"/>
    <w:rsid w:val="00336F99"/>
    <w:rsid w:val="00341A71"/>
    <w:rsid w:val="0034520D"/>
    <w:rsid w:val="00345550"/>
    <w:rsid w:val="00345621"/>
    <w:rsid w:val="00345C0D"/>
    <w:rsid w:val="00345C90"/>
    <w:rsid w:val="00354100"/>
    <w:rsid w:val="00354990"/>
    <w:rsid w:val="003557AB"/>
    <w:rsid w:val="00357D77"/>
    <w:rsid w:val="003624B5"/>
    <w:rsid w:val="00362660"/>
    <w:rsid w:val="0036289F"/>
    <w:rsid w:val="003633A0"/>
    <w:rsid w:val="0036353A"/>
    <w:rsid w:val="0036499D"/>
    <w:rsid w:val="00365802"/>
    <w:rsid w:val="00366576"/>
    <w:rsid w:val="003670FA"/>
    <w:rsid w:val="00370312"/>
    <w:rsid w:val="00383A2D"/>
    <w:rsid w:val="00383BEA"/>
    <w:rsid w:val="00386D93"/>
    <w:rsid w:val="00391855"/>
    <w:rsid w:val="00392E42"/>
    <w:rsid w:val="00393E07"/>
    <w:rsid w:val="00394B6E"/>
    <w:rsid w:val="0039545C"/>
    <w:rsid w:val="0039760F"/>
    <w:rsid w:val="003A610D"/>
    <w:rsid w:val="003A62A1"/>
    <w:rsid w:val="003A7ACD"/>
    <w:rsid w:val="003A7E3E"/>
    <w:rsid w:val="003B07E2"/>
    <w:rsid w:val="003B24EF"/>
    <w:rsid w:val="003B414A"/>
    <w:rsid w:val="003B530B"/>
    <w:rsid w:val="003B6612"/>
    <w:rsid w:val="003B6972"/>
    <w:rsid w:val="003B76DF"/>
    <w:rsid w:val="003C4937"/>
    <w:rsid w:val="003C6AB0"/>
    <w:rsid w:val="003C7747"/>
    <w:rsid w:val="003D11BC"/>
    <w:rsid w:val="003D14DA"/>
    <w:rsid w:val="003D1E60"/>
    <w:rsid w:val="003D25BF"/>
    <w:rsid w:val="003D4A00"/>
    <w:rsid w:val="003E3472"/>
    <w:rsid w:val="003E3686"/>
    <w:rsid w:val="003F1B42"/>
    <w:rsid w:val="003F1E1B"/>
    <w:rsid w:val="003F2EE8"/>
    <w:rsid w:val="003F58D8"/>
    <w:rsid w:val="003F61F0"/>
    <w:rsid w:val="003F6B92"/>
    <w:rsid w:val="003F71E9"/>
    <w:rsid w:val="004006EF"/>
    <w:rsid w:val="00400C90"/>
    <w:rsid w:val="00401F99"/>
    <w:rsid w:val="00402B77"/>
    <w:rsid w:val="004072FE"/>
    <w:rsid w:val="00412BC4"/>
    <w:rsid w:val="004153E0"/>
    <w:rsid w:val="004163BE"/>
    <w:rsid w:val="00417B25"/>
    <w:rsid w:val="00421E6A"/>
    <w:rsid w:val="00422BF0"/>
    <w:rsid w:val="00423C32"/>
    <w:rsid w:val="00423C45"/>
    <w:rsid w:val="00424112"/>
    <w:rsid w:val="004256C8"/>
    <w:rsid w:val="00427229"/>
    <w:rsid w:val="00432BFA"/>
    <w:rsid w:val="00433885"/>
    <w:rsid w:val="004338A2"/>
    <w:rsid w:val="00436C91"/>
    <w:rsid w:val="00441DB5"/>
    <w:rsid w:val="004444B8"/>
    <w:rsid w:val="00446E4F"/>
    <w:rsid w:val="00447258"/>
    <w:rsid w:val="00447355"/>
    <w:rsid w:val="00451D27"/>
    <w:rsid w:val="00452382"/>
    <w:rsid w:val="00452D33"/>
    <w:rsid w:val="00454249"/>
    <w:rsid w:val="00454429"/>
    <w:rsid w:val="0045764D"/>
    <w:rsid w:val="00461022"/>
    <w:rsid w:val="00464243"/>
    <w:rsid w:val="00467D7F"/>
    <w:rsid w:val="004706DB"/>
    <w:rsid w:val="00471423"/>
    <w:rsid w:val="00474B78"/>
    <w:rsid w:val="00475AF4"/>
    <w:rsid w:val="00475F2B"/>
    <w:rsid w:val="00477C91"/>
    <w:rsid w:val="00481293"/>
    <w:rsid w:val="00482716"/>
    <w:rsid w:val="00483346"/>
    <w:rsid w:val="00484EBC"/>
    <w:rsid w:val="00487184"/>
    <w:rsid w:val="00487F92"/>
    <w:rsid w:val="004903DB"/>
    <w:rsid w:val="00490EF9"/>
    <w:rsid w:val="004911F0"/>
    <w:rsid w:val="00491943"/>
    <w:rsid w:val="004938E4"/>
    <w:rsid w:val="004A0A29"/>
    <w:rsid w:val="004A31A0"/>
    <w:rsid w:val="004A46B9"/>
    <w:rsid w:val="004A5477"/>
    <w:rsid w:val="004B3D8D"/>
    <w:rsid w:val="004B3DF3"/>
    <w:rsid w:val="004B786F"/>
    <w:rsid w:val="004C0AD5"/>
    <w:rsid w:val="004C0F0C"/>
    <w:rsid w:val="004C1A4D"/>
    <w:rsid w:val="004C513D"/>
    <w:rsid w:val="004C5ED5"/>
    <w:rsid w:val="004C78D0"/>
    <w:rsid w:val="004D1238"/>
    <w:rsid w:val="004D2224"/>
    <w:rsid w:val="004D26A0"/>
    <w:rsid w:val="004D49D8"/>
    <w:rsid w:val="004D71A5"/>
    <w:rsid w:val="004D765E"/>
    <w:rsid w:val="004E0D04"/>
    <w:rsid w:val="004E17DF"/>
    <w:rsid w:val="004F0B44"/>
    <w:rsid w:val="004F1013"/>
    <w:rsid w:val="004F4073"/>
    <w:rsid w:val="004F4C44"/>
    <w:rsid w:val="004F5688"/>
    <w:rsid w:val="004F7020"/>
    <w:rsid w:val="004F7AE3"/>
    <w:rsid w:val="00501951"/>
    <w:rsid w:val="00503B54"/>
    <w:rsid w:val="00504454"/>
    <w:rsid w:val="00504A70"/>
    <w:rsid w:val="00505E84"/>
    <w:rsid w:val="005070CF"/>
    <w:rsid w:val="00514D9D"/>
    <w:rsid w:val="00515BB3"/>
    <w:rsid w:val="00517E43"/>
    <w:rsid w:val="00521934"/>
    <w:rsid w:val="00526EEA"/>
    <w:rsid w:val="00531139"/>
    <w:rsid w:val="00531D8B"/>
    <w:rsid w:val="00533827"/>
    <w:rsid w:val="00535E35"/>
    <w:rsid w:val="00536621"/>
    <w:rsid w:val="00540AB0"/>
    <w:rsid w:val="00540D27"/>
    <w:rsid w:val="00541FB3"/>
    <w:rsid w:val="00542EDB"/>
    <w:rsid w:val="00543FA1"/>
    <w:rsid w:val="00546E67"/>
    <w:rsid w:val="00553203"/>
    <w:rsid w:val="00553891"/>
    <w:rsid w:val="00555C18"/>
    <w:rsid w:val="00561579"/>
    <w:rsid w:val="00561BAE"/>
    <w:rsid w:val="0056247E"/>
    <w:rsid w:val="005651C7"/>
    <w:rsid w:val="005703C9"/>
    <w:rsid w:val="00575318"/>
    <w:rsid w:val="005769C4"/>
    <w:rsid w:val="005849D9"/>
    <w:rsid w:val="00584DB8"/>
    <w:rsid w:val="00585161"/>
    <w:rsid w:val="00585221"/>
    <w:rsid w:val="00585775"/>
    <w:rsid w:val="00586668"/>
    <w:rsid w:val="005902EF"/>
    <w:rsid w:val="00590CD5"/>
    <w:rsid w:val="00591240"/>
    <w:rsid w:val="005948BB"/>
    <w:rsid w:val="00594A1F"/>
    <w:rsid w:val="005A0997"/>
    <w:rsid w:val="005A27B2"/>
    <w:rsid w:val="005A3A8A"/>
    <w:rsid w:val="005A48EF"/>
    <w:rsid w:val="005A68C7"/>
    <w:rsid w:val="005A77F2"/>
    <w:rsid w:val="005B07FC"/>
    <w:rsid w:val="005B0A76"/>
    <w:rsid w:val="005B0AB5"/>
    <w:rsid w:val="005B0EBE"/>
    <w:rsid w:val="005B0F8B"/>
    <w:rsid w:val="005B2AD2"/>
    <w:rsid w:val="005B328D"/>
    <w:rsid w:val="005B5E59"/>
    <w:rsid w:val="005C0D1C"/>
    <w:rsid w:val="005C417F"/>
    <w:rsid w:val="005C74DA"/>
    <w:rsid w:val="005D1B32"/>
    <w:rsid w:val="005D2049"/>
    <w:rsid w:val="005D5608"/>
    <w:rsid w:val="005D5A12"/>
    <w:rsid w:val="005D693A"/>
    <w:rsid w:val="005D7A8B"/>
    <w:rsid w:val="005E1779"/>
    <w:rsid w:val="005E236F"/>
    <w:rsid w:val="005E3492"/>
    <w:rsid w:val="005E4CB7"/>
    <w:rsid w:val="005E5600"/>
    <w:rsid w:val="005E671B"/>
    <w:rsid w:val="005E7360"/>
    <w:rsid w:val="005F19A9"/>
    <w:rsid w:val="005F317D"/>
    <w:rsid w:val="005F4433"/>
    <w:rsid w:val="005F4B6E"/>
    <w:rsid w:val="005F715C"/>
    <w:rsid w:val="00600FF7"/>
    <w:rsid w:val="00601C60"/>
    <w:rsid w:val="00602231"/>
    <w:rsid w:val="00602283"/>
    <w:rsid w:val="00603323"/>
    <w:rsid w:val="0060386D"/>
    <w:rsid w:val="00604BDD"/>
    <w:rsid w:val="00604D29"/>
    <w:rsid w:val="00607046"/>
    <w:rsid w:val="00611C5F"/>
    <w:rsid w:val="00611E97"/>
    <w:rsid w:val="00611EF2"/>
    <w:rsid w:val="00615821"/>
    <w:rsid w:val="00616689"/>
    <w:rsid w:val="00622086"/>
    <w:rsid w:val="00624CC4"/>
    <w:rsid w:val="00630BFF"/>
    <w:rsid w:val="0063168B"/>
    <w:rsid w:val="00632310"/>
    <w:rsid w:val="00632859"/>
    <w:rsid w:val="006334D8"/>
    <w:rsid w:val="0063408E"/>
    <w:rsid w:val="00635814"/>
    <w:rsid w:val="006372EE"/>
    <w:rsid w:val="00640FAD"/>
    <w:rsid w:val="0064397A"/>
    <w:rsid w:val="00644332"/>
    <w:rsid w:val="006455FA"/>
    <w:rsid w:val="00647E35"/>
    <w:rsid w:val="006576C8"/>
    <w:rsid w:val="00657FD9"/>
    <w:rsid w:val="006600D9"/>
    <w:rsid w:val="00660AD0"/>
    <w:rsid w:val="006613A7"/>
    <w:rsid w:val="00664FA3"/>
    <w:rsid w:val="006670B0"/>
    <w:rsid w:val="00667F4B"/>
    <w:rsid w:val="00673820"/>
    <w:rsid w:val="0067654B"/>
    <w:rsid w:val="0069111F"/>
    <w:rsid w:val="00692BEE"/>
    <w:rsid w:val="00693B70"/>
    <w:rsid w:val="0069672B"/>
    <w:rsid w:val="00697BCC"/>
    <w:rsid w:val="006A1345"/>
    <w:rsid w:val="006A1E4D"/>
    <w:rsid w:val="006A2840"/>
    <w:rsid w:val="006A2D78"/>
    <w:rsid w:val="006A318E"/>
    <w:rsid w:val="006A5DBB"/>
    <w:rsid w:val="006A7A86"/>
    <w:rsid w:val="006B1864"/>
    <w:rsid w:val="006B19A8"/>
    <w:rsid w:val="006B1DC4"/>
    <w:rsid w:val="006B5652"/>
    <w:rsid w:val="006B580D"/>
    <w:rsid w:val="006B6F21"/>
    <w:rsid w:val="006C177D"/>
    <w:rsid w:val="006C4322"/>
    <w:rsid w:val="006C49E7"/>
    <w:rsid w:val="006C52FF"/>
    <w:rsid w:val="006C57CE"/>
    <w:rsid w:val="006C601C"/>
    <w:rsid w:val="006C6825"/>
    <w:rsid w:val="006D00D0"/>
    <w:rsid w:val="006D2FCD"/>
    <w:rsid w:val="006D472E"/>
    <w:rsid w:val="006D56A1"/>
    <w:rsid w:val="006D56C4"/>
    <w:rsid w:val="006E09C2"/>
    <w:rsid w:val="006E40B6"/>
    <w:rsid w:val="006E4DB9"/>
    <w:rsid w:val="006F25BB"/>
    <w:rsid w:val="006F63D1"/>
    <w:rsid w:val="00700D35"/>
    <w:rsid w:val="007025A2"/>
    <w:rsid w:val="007103DB"/>
    <w:rsid w:val="0071152B"/>
    <w:rsid w:val="007179D6"/>
    <w:rsid w:val="00721297"/>
    <w:rsid w:val="00722122"/>
    <w:rsid w:val="00722285"/>
    <w:rsid w:val="0072255E"/>
    <w:rsid w:val="007241DF"/>
    <w:rsid w:val="007254B8"/>
    <w:rsid w:val="007271AC"/>
    <w:rsid w:val="00727723"/>
    <w:rsid w:val="00727EB3"/>
    <w:rsid w:val="00732DDE"/>
    <w:rsid w:val="00736CBE"/>
    <w:rsid w:val="00740513"/>
    <w:rsid w:val="00740869"/>
    <w:rsid w:val="007411AE"/>
    <w:rsid w:val="00741A00"/>
    <w:rsid w:val="00741AB9"/>
    <w:rsid w:val="007464CC"/>
    <w:rsid w:val="00747780"/>
    <w:rsid w:val="00750274"/>
    <w:rsid w:val="0075175C"/>
    <w:rsid w:val="007520E3"/>
    <w:rsid w:val="00757F00"/>
    <w:rsid w:val="007616DD"/>
    <w:rsid w:val="00770980"/>
    <w:rsid w:val="00773FF9"/>
    <w:rsid w:val="00776555"/>
    <w:rsid w:val="00776DD0"/>
    <w:rsid w:val="007840A6"/>
    <w:rsid w:val="007849C6"/>
    <w:rsid w:val="00784F7D"/>
    <w:rsid w:val="007869B4"/>
    <w:rsid w:val="007876A5"/>
    <w:rsid w:val="00791D5E"/>
    <w:rsid w:val="007A0CB4"/>
    <w:rsid w:val="007A1807"/>
    <w:rsid w:val="007A6169"/>
    <w:rsid w:val="007A6ED3"/>
    <w:rsid w:val="007B41F6"/>
    <w:rsid w:val="007B5401"/>
    <w:rsid w:val="007B5CD2"/>
    <w:rsid w:val="007B742A"/>
    <w:rsid w:val="007C08BE"/>
    <w:rsid w:val="007C2756"/>
    <w:rsid w:val="007C3385"/>
    <w:rsid w:val="007C579A"/>
    <w:rsid w:val="007C5A9C"/>
    <w:rsid w:val="007C64D4"/>
    <w:rsid w:val="007D03AE"/>
    <w:rsid w:val="007D09F0"/>
    <w:rsid w:val="007D2891"/>
    <w:rsid w:val="007D3051"/>
    <w:rsid w:val="007D33C6"/>
    <w:rsid w:val="007D3A85"/>
    <w:rsid w:val="007D4519"/>
    <w:rsid w:val="007D4CD2"/>
    <w:rsid w:val="007E530C"/>
    <w:rsid w:val="007E607E"/>
    <w:rsid w:val="007E7351"/>
    <w:rsid w:val="007E7AD8"/>
    <w:rsid w:val="007E7F56"/>
    <w:rsid w:val="0080159B"/>
    <w:rsid w:val="00804202"/>
    <w:rsid w:val="0080465F"/>
    <w:rsid w:val="00805C0F"/>
    <w:rsid w:val="00805CF6"/>
    <w:rsid w:val="00806912"/>
    <w:rsid w:val="00806E70"/>
    <w:rsid w:val="00812002"/>
    <w:rsid w:val="00812998"/>
    <w:rsid w:val="00816577"/>
    <w:rsid w:val="00820242"/>
    <w:rsid w:val="00820252"/>
    <w:rsid w:val="0082207E"/>
    <w:rsid w:val="008271D2"/>
    <w:rsid w:val="008276D6"/>
    <w:rsid w:val="00830DA5"/>
    <w:rsid w:val="008325FC"/>
    <w:rsid w:val="00834084"/>
    <w:rsid w:val="00835357"/>
    <w:rsid w:val="00835C32"/>
    <w:rsid w:val="00840D63"/>
    <w:rsid w:val="0084347F"/>
    <w:rsid w:val="0084353E"/>
    <w:rsid w:val="0084766D"/>
    <w:rsid w:val="00850472"/>
    <w:rsid w:val="00850611"/>
    <w:rsid w:val="00850D9A"/>
    <w:rsid w:val="00851E81"/>
    <w:rsid w:val="00852CF4"/>
    <w:rsid w:val="0085347A"/>
    <w:rsid w:val="008577A8"/>
    <w:rsid w:val="00857877"/>
    <w:rsid w:val="008609A8"/>
    <w:rsid w:val="0086151B"/>
    <w:rsid w:val="00861E92"/>
    <w:rsid w:val="008632C4"/>
    <w:rsid w:val="00864414"/>
    <w:rsid w:val="008645C7"/>
    <w:rsid w:val="00864BA0"/>
    <w:rsid w:val="00867A5B"/>
    <w:rsid w:val="00867F81"/>
    <w:rsid w:val="00870304"/>
    <w:rsid w:val="008706B2"/>
    <w:rsid w:val="008720AB"/>
    <w:rsid w:val="00876380"/>
    <w:rsid w:val="0087688E"/>
    <w:rsid w:val="00876EEE"/>
    <w:rsid w:val="00880C12"/>
    <w:rsid w:val="00881CB1"/>
    <w:rsid w:val="00887CB9"/>
    <w:rsid w:val="00893077"/>
    <w:rsid w:val="00893D72"/>
    <w:rsid w:val="008947C7"/>
    <w:rsid w:val="00895463"/>
    <w:rsid w:val="0089625C"/>
    <w:rsid w:val="0089644C"/>
    <w:rsid w:val="00896E44"/>
    <w:rsid w:val="008A0727"/>
    <w:rsid w:val="008A3FC2"/>
    <w:rsid w:val="008A42C5"/>
    <w:rsid w:val="008A4EF4"/>
    <w:rsid w:val="008B009B"/>
    <w:rsid w:val="008B1691"/>
    <w:rsid w:val="008B5F99"/>
    <w:rsid w:val="008C4190"/>
    <w:rsid w:val="008C50C7"/>
    <w:rsid w:val="008D13FB"/>
    <w:rsid w:val="008D162B"/>
    <w:rsid w:val="008D1B58"/>
    <w:rsid w:val="008D3766"/>
    <w:rsid w:val="008D37B6"/>
    <w:rsid w:val="008E1F0D"/>
    <w:rsid w:val="008E28FC"/>
    <w:rsid w:val="008E3EB6"/>
    <w:rsid w:val="008E4915"/>
    <w:rsid w:val="008E5539"/>
    <w:rsid w:val="008E61AD"/>
    <w:rsid w:val="008E7120"/>
    <w:rsid w:val="008E7CC3"/>
    <w:rsid w:val="008F2091"/>
    <w:rsid w:val="008F356D"/>
    <w:rsid w:val="0090152A"/>
    <w:rsid w:val="00904D43"/>
    <w:rsid w:val="009131C4"/>
    <w:rsid w:val="00913760"/>
    <w:rsid w:val="00916DD1"/>
    <w:rsid w:val="00921032"/>
    <w:rsid w:val="0092512F"/>
    <w:rsid w:val="00932334"/>
    <w:rsid w:val="00933A30"/>
    <w:rsid w:val="00934855"/>
    <w:rsid w:val="00934876"/>
    <w:rsid w:val="009355F2"/>
    <w:rsid w:val="009437A2"/>
    <w:rsid w:val="00944696"/>
    <w:rsid w:val="0094486E"/>
    <w:rsid w:val="009456BA"/>
    <w:rsid w:val="00950F5A"/>
    <w:rsid w:val="00951F35"/>
    <w:rsid w:val="00951FF7"/>
    <w:rsid w:val="00952311"/>
    <w:rsid w:val="009524E4"/>
    <w:rsid w:val="00952F4F"/>
    <w:rsid w:val="009542DC"/>
    <w:rsid w:val="00955977"/>
    <w:rsid w:val="00955ACD"/>
    <w:rsid w:val="00955DA4"/>
    <w:rsid w:val="00962FEA"/>
    <w:rsid w:val="00966E0E"/>
    <w:rsid w:val="00971563"/>
    <w:rsid w:val="00972B7E"/>
    <w:rsid w:val="009744B2"/>
    <w:rsid w:val="00974B04"/>
    <w:rsid w:val="00976221"/>
    <w:rsid w:val="00976F57"/>
    <w:rsid w:val="009805B5"/>
    <w:rsid w:val="00982C11"/>
    <w:rsid w:val="00983B30"/>
    <w:rsid w:val="009900D0"/>
    <w:rsid w:val="00991C38"/>
    <w:rsid w:val="00991F1D"/>
    <w:rsid w:val="009933C3"/>
    <w:rsid w:val="00993C80"/>
    <w:rsid w:val="00996191"/>
    <w:rsid w:val="009962B7"/>
    <w:rsid w:val="009A0F9F"/>
    <w:rsid w:val="009A1DBE"/>
    <w:rsid w:val="009A5BAD"/>
    <w:rsid w:val="009A5E3C"/>
    <w:rsid w:val="009B09C5"/>
    <w:rsid w:val="009B1B80"/>
    <w:rsid w:val="009B4C79"/>
    <w:rsid w:val="009B52A4"/>
    <w:rsid w:val="009B56C5"/>
    <w:rsid w:val="009B65BC"/>
    <w:rsid w:val="009C1628"/>
    <w:rsid w:val="009C2297"/>
    <w:rsid w:val="009C3B20"/>
    <w:rsid w:val="009C4D7B"/>
    <w:rsid w:val="009C605A"/>
    <w:rsid w:val="009C6297"/>
    <w:rsid w:val="009C696B"/>
    <w:rsid w:val="009D12BC"/>
    <w:rsid w:val="009D2541"/>
    <w:rsid w:val="009D5391"/>
    <w:rsid w:val="009D66CE"/>
    <w:rsid w:val="009D7433"/>
    <w:rsid w:val="009E0E7A"/>
    <w:rsid w:val="009E16A3"/>
    <w:rsid w:val="009E2812"/>
    <w:rsid w:val="009E5AD2"/>
    <w:rsid w:val="009F2645"/>
    <w:rsid w:val="009F28C4"/>
    <w:rsid w:val="009F2E27"/>
    <w:rsid w:val="009F42D3"/>
    <w:rsid w:val="009F624E"/>
    <w:rsid w:val="009F6EA2"/>
    <w:rsid w:val="00A004E4"/>
    <w:rsid w:val="00A01C83"/>
    <w:rsid w:val="00A031A3"/>
    <w:rsid w:val="00A0498E"/>
    <w:rsid w:val="00A06D51"/>
    <w:rsid w:val="00A114DB"/>
    <w:rsid w:val="00A1172A"/>
    <w:rsid w:val="00A13D31"/>
    <w:rsid w:val="00A165B7"/>
    <w:rsid w:val="00A170E7"/>
    <w:rsid w:val="00A221D7"/>
    <w:rsid w:val="00A23DF7"/>
    <w:rsid w:val="00A249C4"/>
    <w:rsid w:val="00A24F23"/>
    <w:rsid w:val="00A25448"/>
    <w:rsid w:val="00A2589F"/>
    <w:rsid w:val="00A31D41"/>
    <w:rsid w:val="00A31DB1"/>
    <w:rsid w:val="00A35F8B"/>
    <w:rsid w:val="00A36F27"/>
    <w:rsid w:val="00A37620"/>
    <w:rsid w:val="00A4077A"/>
    <w:rsid w:val="00A422E3"/>
    <w:rsid w:val="00A4266E"/>
    <w:rsid w:val="00A435A9"/>
    <w:rsid w:val="00A43886"/>
    <w:rsid w:val="00A44F5E"/>
    <w:rsid w:val="00A45121"/>
    <w:rsid w:val="00A455ED"/>
    <w:rsid w:val="00A45F64"/>
    <w:rsid w:val="00A46087"/>
    <w:rsid w:val="00A46918"/>
    <w:rsid w:val="00A46A1F"/>
    <w:rsid w:val="00A46BEB"/>
    <w:rsid w:val="00A51770"/>
    <w:rsid w:val="00A52AAD"/>
    <w:rsid w:val="00A548BE"/>
    <w:rsid w:val="00A56062"/>
    <w:rsid w:val="00A656A9"/>
    <w:rsid w:val="00A666CE"/>
    <w:rsid w:val="00A667AC"/>
    <w:rsid w:val="00A66BB0"/>
    <w:rsid w:val="00A717FF"/>
    <w:rsid w:val="00A765AD"/>
    <w:rsid w:val="00A7767C"/>
    <w:rsid w:val="00A8062F"/>
    <w:rsid w:val="00A82264"/>
    <w:rsid w:val="00A86420"/>
    <w:rsid w:val="00A87629"/>
    <w:rsid w:val="00A87B07"/>
    <w:rsid w:val="00A90897"/>
    <w:rsid w:val="00A908D4"/>
    <w:rsid w:val="00A91044"/>
    <w:rsid w:val="00A915DF"/>
    <w:rsid w:val="00A94E22"/>
    <w:rsid w:val="00A9501A"/>
    <w:rsid w:val="00A9585D"/>
    <w:rsid w:val="00A9610C"/>
    <w:rsid w:val="00AA72EC"/>
    <w:rsid w:val="00AB0D59"/>
    <w:rsid w:val="00AB6AFC"/>
    <w:rsid w:val="00AC12A6"/>
    <w:rsid w:val="00AC3E79"/>
    <w:rsid w:val="00AC4648"/>
    <w:rsid w:val="00AC624B"/>
    <w:rsid w:val="00AD09A1"/>
    <w:rsid w:val="00AD1E48"/>
    <w:rsid w:val="00AD2C89"/>
    <w:rsid w:val="00AD2DE3"/>
    <w:rsid w:val="00AD4214"/>
    <w:rsid w:val="00AD6764"/>
    <w:rsid w:val="00AD7DBF"/>
    <w:rsid w:val="00AE11F3"/>
    <w:rsid w:val="00AE2147"/>
    <w:rsid w:val="00AE3EBA"/>
    <w:rsid w:val="00AE4529"/>
    <w:rsid w:val="00AE50E9"/>
    <w:rsid w:val="00AE6754"/>
    <w:rsid w:val="00AE7600"/>
    <w:rsid w:val="00AF03CE"/>
    <w:rsid w:val="00AF1BE7"/>
    <w:rsid w:val="00AF3F19"/>
    <w:rsid w:val="00AF4241"/>
    <w:rsid w:val="00AF5E1A"/>
    <w:rsid w:val="00AF6031"/>
    <w:rsid w:val="00AF73EA"/>
    <w:rsid w:val="00B0081F"/>
    <w:rsid w:val="00B04295"/>
    <w:rsid w:val="00B045DB"/>
    <w:rsid w:val="00B04AFA"/>
    <w:rsid w:val="00B05942"/>
    <w:rsid w:val="00B061EA"/>
    <w:rsid w:val="00B13686"/>
    <w:rsid w:val="00B1391B"/>
    <w:rsid w:val="00B15D4D"/>
    <w:rsid w:val="00B228FD"/>
    <w:rsid w:val="00B237F1"/>
    <w:rsid w:val="00B23F09"/>
    <w:rsid w:val="00B24DDE"/>
    <w:rsid w:val="00B25333"/>
    <w:rsid w:val="00B254DF"/>
    <w:rsid w:val="00B25CA9"/>
    <w:rsid w:val="00B317CF"/>
    <w:rsid w:val="00B31F1A"/>
    <w:rsid w:val="00B32EC0"/>
    <w:rsid w:val="00B34F9B"/>
    <w:rsid w:val="00B35B91"/>
    <w:rsid w:val="00B36113"/>
    <w:rsid w:val="00B36252"/>
    <w:rsid w:val="00B41F40"/>
    <w:rsid w:val="00B501F2"/>
    <w:rsid w:val="00B53C11"/>
    <w:rsid w:val="00B54FD6"/>
    <w:rsid w:val="00B55315"/>
    <w:rsid w:val="00B55B8B"/>
    <w:rsid w:val="00B56099"/>
    <w:rsid w:val="00B616D8"/>
    <w:rsid w:val="00B6257A"/>
    <w:rsid w:val="00B62AB9"/>
    <w:rsid w:val="00B62C49"/>
    <w:rsid w:val="00B6460A"/>
    <w:rsid w:val="00B6469F"/>
    <w:rsid w:val="00B66F51"/>
    <w:rsid w:val="00B676ED"/>
    <w:rsid w:val="00B71751"/>
    <w:rsid w:val="00B7220C"/>
    <w:rsid w:val="00B73761"/>
    <w:rsid w:val="00B7402E"/>
    <w:rsid w:val="00B76263"/>
    <w:rsid w:val="00B80D61"/>
    <w:rsid w:val="00B81225"/>
    <w:rsid w:val="00B81838"/>
    <w:rsid w:val="00B8243F"/>
    <w:rsid w:val="00B82F77"/>
    <w:rsid w:val="00B836F5"/>
    <w:rsid w:val="00B85348"/>
    <w:rsid w:val="00B8659D"/>
    <w:rsid w:val="00B92E28"/>
    <w:rsid w:val="00BA00C1"/>
    <w:rsid w:val="00BA4CAE"/>
    <w:rsid w:val="00BA7D68"/>
    <w:rsid w:val="00BB1FD6"/>
    <w:rsid w:val="00BB3C63"/>
    <w:rsid w:val="00BC4F61"/>
    <w:rsid w:val="00BC5326"/>
    <w:rsid w:val="00BC750B"/>
    <w:rsid w:val="00BD00AF"/>
    <w:rsid w:val="00BD169F"/>
    <w:rsid w:val="00BD7CD3"/>
    <w:rsid w:val="00BE0660"/>
    <w:rsid w:val="00BE1913"/>
    <w:rsid w:val="00BE1C7F"/>
    <w:rsid w:val="00BE379A"/>
    <w:rsid w:val="00BE520F"/>
    <w:rsid w:val="00BE6669"/>
    <w:rsid w:val="00BE78B5"/>
    <w:rsid w:val="00BF0501"/>
    <w:rsid w:val="00BF3148"/>
    <w:rsid w:val="00BF6845"/>
    <w:rsid w:val="00BF699C"/>
    <w:rsid w:val="00BF792D"/>
    <w:rsid w:val="00C0278D"/>
    <w:rsid w:val="00C02AE0"/>
    <w:rsid w:val="00C03379"/>
    <w:rsid w:val="00C041EA"/>
    <w:rsid w:val="00C0757D"/>
    <w:rsid w:val="00C106D9"/>
    <w:rsid w:val="00C10B0C"/>
    <w:rsid w:val="00C11D20"/>
    <w:rsid w:val="00C17E6E"/>
    <w:rsid w:val="00C2010C"/>
    <w:rsid w:val="00C21F38"/>
    <w:rsid w:val="00C2311C"/>
    <w:rsid w:val="00C2529F"/>
    <w:rsid w:val="00C26345"/>
    <w:rsid w:val="00C26B12"/>
    <w:rsid w:val="00C26FC8"/>
    <w:rsid w:val="00C321B1"/>
    <w:rsid w:val="00C33632"/>
    <w:rsid w:val="00C4205A"/>
    <w:rsid w:val="00C432C4"/>
    <w:rsid w:val="00C43410"/>
    <w:rsid w:val="00C47250"/>
    <w:rsid w:val="00C5321E"/>
    <w:rsid w:val="00C53AF7"/>
    <w:rsid w:val="00C53F2C"/>
    <w:rsid w:val="00C54A0F"/>
    <w:rsid w:val="00C57FC4"/>
    <w:rsid w:val="00C620AE"/>
    <w:rsid w:val="00C70608"/>
    <w:rsid w:val="00C71159"/>
    <w:rsid w:val="00C73F12"/>
    <w:rsid w:val="00C826DA"/>
    <w:rsid w:val="00C832DC"/>
    <w:rsid w:val="00C95018"/>
    <w:rsid w:val="00C952AE"/>
    <w:rsid w:val="00C95695"/>
    <w:rsid w:val="00CA29D9"/>
    <w:rsid w:val="00CA361F"/>
    <w:rsid w:val="00CA4003"/>
    <w:rsid w:val="00CA4912"/>
    <w:rsid w:val="00CA511F"/>
    <w:rsid w:val="00CA68C7"/>
    <w:rsid w:val="00CA78C7"/>
    <w:rsid w:val="00CB615B"/>
    <w:rsid w:val="00CC256F"/>
    <w:rsid w:val="00CC6A5D"/>
    <w:rsid w:val="00CD1817"/>
    <w:rsid w:val="00CD1CEA"/>
    <w:rsid w:val="00CD56EA"/>
    <w:rsid w:val="00CD7945"/>
    <w:rsid w:val="00CE1DA6"/>
    <w:rsid w:val="00CE33EC"/>
    <w:rsid w:val="00CE52AF"/>
    <w:rsid w:val="00CE6A37"/>
    <w:rsid w:val="00CE781F"/>
    <w:rsid w:val="00CF2860"/>
    <w:rsid w:val="00CF6055"/>
    <w:rsid w:val="00D04748"/>
    <w:rsid w:val="00D06A95"/>
    <w:rsid w:val="00D07AB3"/>
    <w:rsid w:val="00D1025F"/>
    <w:rsid w:val="00D141A0"/>
    <w:rsid w:val="00D15BB7"/>
    <w:rsid w:val="00D162A7"/>
    <w:rsid w:val="00D175F0"/>
    <w:rsid w:val="00D2094C"/>
    <w:rsid w:val="00D24494"/>
    <w:rsid w:val="00D26A89"/>
    <w:rsid w:val="00D27E24"/>
    <w:rsid w:val="00D317B7"/>
    <w:rsid w:val="00D31E87"/>
    <w:rsid w:val="00D341FD"/>
    <w:rsid w:val="00D37151"/>
    <w:rsid w:val="00D379AA"/>
    <w:rsid w:val="00D37EE3"/>
    <w:rsid w:val="00D41CB7"/>
    <w:rsid w:val="00D43B97"/>
    <w:rsid w:val="00D47DAC"/>
    <w:rsid w:val="00D527B7"/>
    <w:rsid w:val="00D53218"/>
    <w:rsid w:val="00D53AF6"/>
    <w:rsid w:val="00D54DAB"/>
    <w:rsid w:val="00D563E4"/>
    <w:rsid w:val="00D57445"/>
    <w:rsid w:val="00D633A8"/>
    <w:rsid w:val="00D71AF7"/>
    <w:rsid w:val="00D72A83"/>
    <w:rsid w:val="00D73862"/>
    <w:rsid w:val="00D74186"/>
    <w:rsid w:val="00D76AD8"/>
    <w:rsid w:val="00D83E28"/>
    <w:rsid w:val="00D843CA"/>
    <w:rsid w:val="00D85119"/>
    <w:rsid w:val="00D85B27"/>
    <w:rsid w:val="00D86227"/>
    <w:rsid w:val="00D86395"/>
    <w:rsid w:val="00D86774"/>
    <w:rsid w:val="00D8758A"/>
    <w:rsid w:val="00D90623"/>
    <w:rsid w:val="00D92BBD"/>
    <w:rsid w:val="00D95848"/>
    <w:rsid w:val="00D9689F"/>
    <w:rsid w:val="00D97B37"/>
    <w:rsid w:val="00DA0DAD"/>
    <w:rsid w:val="00DA3B79"/>
    <w:rsid w:val="00DA5671"/>
    <w:rsid w:val="00DB03EA"/>
    <w:rsid w:val="00DB405F"/>
    <w:rsid w:val="00DB7F96"/>
    <w:rsid w:val="00DC0E05"/>
    <w:rsid w:val="00DC3B6E"/>
    <w:rsid w:val="00DC5D7D"/>
    <w:rsid w:val="00DC6ADD"/>
    <w:rsid w:val="00DC6F5B"/>
    <w:rsid w:val="00DD0102"/>
    <w:rsid w:val="00DD18EC"/>
    <w:rsid w:val="00DD1C5F"/>
    <w:rsid w:val="00DD3B19"/>
    <w:rsid w:val="00DD48A0"/>
    <w:rsid w:val="00DD5D40"/>
    <w:rsid w:val="00DD7E90"/>
    <w:rsid w:val="00DE067D"/>
    <w:rsid w:val="00DE1C8F"/>
    <w:rsid w:val="00DE2A63"/>
    <w:rsid w:val="00DE46BB"/>
    <w:rsid w:val="00DF70E3"/>
    <w:rsid w:val="00E010BA"/>
    <w:rsid w:val="00E01149"/>
    <w:rsid w:val="00E01732"/>
    <w:rsid w:val="00E019F0"/>
    <w:rsid w:val="00E03F26"/>
    <w:rsid w:val="00E052FB"/>
    <w:rsid w:val="00E105D0"/>
    <w:rsid w:val="00E16785"/>
    <w:rsid w:val="00E17AF3"/>
    <w:rsid w:val="00E211CC"/>
    <w:rsid w:val="00E23402"/>
    <w:rsid w:val="00E235F8"/>
    <w:rsid w:val="00E31DF2"/>
    <w:rsid w:val="00E35D6A"/>
    <w:rsid w:val="00E36100"/>
    <w:rsid w:val="00E40B37"/>
    <w:rsid w:val="00E40FA8"/>
    <w:rsid w:val="00E41035"/>
    <w:rsid w:val="00E4141C"/>
    <w:rsid w:val="00E42CD6"/>
    <w:rsid w:val="00E44672"/>
    <w:rsid w:val="00E4475F"/>
    <w:rsid w:val="00E50FE3"/>
    <w:rsid w:val="00E5147D"/>
    <w:rsid w:val="00E52C59"/>
    <w:rsid w:val="00E53FEA"/>
    <w:rsid w:val="00E578AC"/>
    <w:rsid w:val="00E63193"/>
    <w:rsid w:val="00E63852"/>
    <w:rsid w:val="00E64393"/>
    <w:rsid w:val="00E74244"/>
    <w:rsid w:val="00E74325"/>
    <w:rsid w:val="00E75C2A"/>
    <w:rsid w:val="00E75CA9"/>
    <w:rsid w:val="00E7653C"/>
    <w:rsid w:val="00E808AE"/>
    <w:rsid w:val="00E83FD2"/>
    <w:rsid w:val="00E845E8"/>
    <w:rsid w:val="00E876C3"/>
    <w:rsid w:val="00E87BDA"/>
    <w:rsid w:val="00E92C70"/>
    <w:rsid w:val="00E93D3A"/>
    <w:rsid w:val="00E9654C"/>
    <w:rsid w:val="00E970CB"/>
    <w:rsid w:val="00E972B4"/>
    <w:rsid w:val="00EB115F"/>
    <w:rsid w:val="00EC033B"/>
    <w:rsid w:val="00EC1811"/>
    <w:rsid w:val="00EC2D6A"/>
    <w:rsid w:val="00EC45F3"/>
    <w:rsid w:val="00EC4C2F"/>
    <w:rsid w:val="00ED3498"/>
    <w:rsid w:val="00ED4E6E"/>
    <w:rsid w:val="00ED7AD4"/>
    <w:rsid w:val="00EE2289"/>
    <w:rsid w:val="00EE2BF3"/>
    <w:rsid w:val="00EE300A"/>
    <w:rsid w:val="00EE4763"/>
    <w:rsid w:val="00EE4926"/>
    <w:rsid w:val="00EE5829"/>
    <w:rsid w:val="00EE6AB6"/>
    <w:rsid w:val="00EF0222"/>
    <w:rsid w:val="00EF2350"/>
    <w:rsid w:val="00EF2BC8"/>
    <w:rsid w:val="00EF659A"/>
    <w:rsid w:val="00EF6BE4"/>
    <w:rsid w:val="00EF73ED"/>
    <w:rsid w:val="00EF7519"/>
    <w:rsid w:val="00EF7BBA"/>
    <w:rsid w:val="00F00B2A"/>
    <w:rsid w:val="00F00D8B"/>
    <w:rsid w:val="00F0755F"/>
    <w:rsid w:val="00F0774C"/>
    <w:rsid w:val="00F07A81"/>
    <w:rsid w:val="00F10E3D"/>
    <w:rsid w:val="00F12F2F"/>
    <w:rsid w:val="00F20D1A"/>
    <w:rsid w:val="00F21275"/>
    <w:rsid w:val="00F2137B"/>
    <w:rsid w:val="00F226F8"/>
    <w:rsid w:val="00F2390D"/>
    <w:rsid w:val="00F250F4"/>
    <w:rsid w:val="00F264F5"/>
    <w:rsid w:val="00F27053"/>
    <w:rsid w:val="00F270E1"/>
    <w:rsid w:val="00F27241"/>
    <w:rsid w:val="00F32869"/>
    <w:rsid w:val="00F374A2"/>
    <w:rsid w:val="00F43CA1"/>
    <w:rsid w:val="00F443A4"/>
    <w:rsid w:val="00F47ED5"/>
    <w:rsid w:val="00F50786"/>
    <w:rsid w:val="00F51EC3"/>
    <w:rsid w:val="00F53416"/>
    <w:rsid w:val="00F5376F"/>
    <w:rsid w:val="00F54C29"/>
    <w:rsid w:val="00F563BF"/>
    <w:rsid w:val="00F62F8F"/>
    <w:rsid w:val="00F636E3"/>
    <w:rsid w:val="00F65105"/>
    <w:rsid w:val="00F75104"/>
    <w:rsid w:val="00F811E7"/>
    <w:rsid w:val="00F81B3F"/>
    <w:rsid w:val="00F82FA5"/>
    <w:rsid w:val="00F842D4"/>
    <w:rsid w:val="00F84E54"/>
    <w:rsid w:val="00F859B1"/>
    <w:rsid w:val="00F90134"/>
    <w:rsid w:val="00F90AC0"/>
    <w:rsid w:val="00F924CE"/>
    <w:rsid w:val="00F948B3"/>
    <w:rsid w:val="00F96886"/>
    <w:rsid w:val="00FA0FF5"/>
    <w:rsid w:val="00FA195E"/>
    <w:rsid w:val="00FA2DE2"/>
    <w:rsid w:val="00FA357E"/>
    <w:rsid w:val="00FA4420"/>
    <w:rsid w:val="00FA64F2"/>
    <w:rsid w:val="00FA7850"/>
    <w:rsid w:val="00FB0BEA"/>
    <w:rsid w:val="00FB1E2B"/>
    <w:rsid w:val="00FB5062"/>
    <w:rsid w:val="00FB77B0"/>
    <w:rsid w:val="00FC44DC"/>
    <w:rsid w:val="00FC54D6"/>
    <w:rsid w:val="00FC63F2"/>
    <w:rsid w:val="00FC6DB9"/>
    <w:rsid w:val="00FC73EF"/>
    <w:rsid w:val="00FC7CA5"/>
    <w:rsid w:val="00FD18DB"/>
    <w:rsid w:val="00FD1A18"/>
    <w:rsid w:val="00FD390F"/>
    <w:rsid w:val="00FD656F"/>
    <w:rsid w:val="00FD7C03"/>
    <w:rsid w:val="00FE1111"/>
    <w:rsid w:val="00FE2FF3"/>
    <w:rsid w:val="00FE3110"/>
    <w:rsid w:val="00FE4890"/>
    <w:rsid w:val="00FE4E5E"/>
    <w:rsid w:val="00FE5C1D"/>
    <w:rsid w:val="00FE7657"/>
    <w:rsid w:val="00FF00C4"/>
    <w:rsid w:val="00FF7780"/>
    <w:rsid w:val="00FF79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317CF"/>
    <w:rPr>
      <w:rFonts w:ascii="Times New Roman" w:eastAsia="Times New Roman" w:hAnsi="Times New Roman"/>
      <w:sz w:val="20"/>
      <w:szCs w:val="20"/>
      <w:lang w:val="ru-RU" w:eastAsia="ru-RU"/>
    </w:rPr>
  </w:style>
  <w:style w:type="paragraph" w:styleId="Heading1">
    <w:name w:val="heading 1"/>
    <w:basedOn w:val="Normal"/>
    <w:next w:val="Normal"/>
    <w:link w:val="Heading1Char"/>
    <w:uiPriority w:val="99"/>
    <w:qFormat/>
    <w:rsid w:val="00B317CF"/>
    <w:pPr>
      <w:keepNext/>
      <w:outlineLvl w:val="0"/>
    </w:pPr>
    <w:rPr>
      <w:rFonts w:ascii="Courier New" w:hAnsi="Courier New"/>
      <w:b/>
      <w:lang w:val="en-US"/>
    </w:rPr>
  </w:style>
  <w:style w:type="paragraph" w:styleId="Heading2">
    <w:name w:val="heading 2"/>
    <w:basedOn w:val="Normal"/>
    <w:next w:val="Normal"/>
    <w:link w:val="Heading2Char"/>
    <w:uiPriority w:val="99"/>
    <w:qFormat/>
    <w:rsid w:val="00B317CF"/>
    <w:pPr>
      <w:keepNext/>
      <w:outlineLvl w:val="1"/>
    </w:pPr>
    <w:rPr>
      <w:b/>
      <w:i/>
      <w:color w:val="0000FF"/>
      <w:sz w:val="18"/>
      <w:lang w:val="en-US"/>
    </w:rPr>
  </w:style>
  <w:style w:type="paragraph" w:styleId="Heading3">
    <w:name w:val="heading 3"/>
    <w:basedOn w:val="Normal"/>
    <w:next w:val="Normal"/>
    <w:link w:val="Heading3Char"/>
    <w:uiPriority w:val="99"/>
    <w:qFormat/>
    <w:rsid w:val="00B317CF"/>
    <w:pPr>
      <w:keepNext/>
      <w:jc w:val="center"/>
      <w:outlineLvl w:val="2"/>
    </w:pPr>
    <w:rPr>
      <w:rFonts w:ascii="Izhitsa" w:hAnsi="Izhitsa"/>
      <w:b/>
      <w:color w:val="0000FF"/>
      <w:sz w:val="48"/>
      <w:lang w:val="en-US"/>
    </w:rPr>
  </w:style>
  <w:style w:type="paragraph" w:styleId="Heading4">
    <w:name w:val="heading 4"/>
    <w:basedOn w:val="Normal"/>
    <w:next w:val="Normal"/>
    <w:link w:val="Heading4Char"/>
    <w:uiPriority w:val="99"/>
    <w:qFormat/>
    <w:rsid w:val="00B317CF"/>
    <w:pPr>
      <w:keepNext/>
      <w:jc w:val="right"/>
      <w:outlineLvl w:val="3"/>
    </w:pPr>
    <w:rPr>
      <w:rFonts w:ascii="Arial" w:hAnsi="Arial"/>
      <w:sz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17CF"/>
    <w:rPr>
      <w:rFonts w:ascii="Courier New" w:hAnsi="Courier New"/>
      <w:b/>
      <w:sz w:val="20"/>
      <w:lang w:eastAsia="ru-RU"/>
    </w:rPr>
  </w:style>
  <w:style w:type="character" w:customStyle="1" w:styleId="Heading2Char">
    <w:name w:val="Heading 2 Char"/>
    <w:basedOn w:val="DefaultParagraphFont"/>
    <w:link w:val="Heading2"/>
    <w:uiPriority w:val="99"/>
    <w:locked/>
    <w:rsid w:val="00B317CF"/>
    <w:rPr>
      <w:rFonts w:ascii="Times New Roman" w:hAnsi="Times New Roman"/>
      <w:b/>
      <w:i/>
      <w:color w:val="0000FF"/>
      <w:sz w:val="20"/>
      <w:lang w:eastAsia="ru-RU"/>
    </w:rPr>
  </w:style>
  <w:style w:type="character" w:customStyle="1" w:styleId="Heading3Char">
    <w:name w:val="Heading 3 Char"/>
    <w:basedOn w:val="DefaultParagraphFont"/>
    <w:link w:val="Heading3"/>
    <w:uiPriority w:val="99"/>
    <w:locked/>
    <w:rsid w:val="00B317CF"/>
    <w:rPr>
      <w:rFonts w:ascii="Izhitsa" w:hAnsi="Izhitsa"/>
      <w:b/>
      <w:color w:val="0000FF"/>
      <w:sz w:val="20"/>
      <w:lang w:eastAsia="ru-RU"/>
    </w:rPr>
  </w:style>
  <w:style w:type="character" w:customStyle="1" w:styleId="Heading4Char">
    <w:name w:val="Heading 4 Char"/>
    <w:basedOn w:val="DefaultParagraphFont"/>
    <w:link w:val="Heading4"/>
    <w:uiPriority w:val="99"/>
    <w:locked/>
    <w:rsid w:val="00B317CF"/>
    <w:rPr>
      <w:rFonts w:ascii="Arial" w:hAnsi="Arial"/>
      <w:sz w:val="20"/>
      <w:lang w:eastAsia="ru-RU"/>
    </w:rPr>
  </w:style>
  <w:style w:type="paragraph" w:styleId="BodyText">
    <w:name w:val="Body Text"/>
    <w:basedOn w:val="Normal"/>
    <w:link w:val="BodyTextChar"/>
    <w:uiPriority w:val="99"/>
    <w:rsid w:val="00B317CF"/>
    <w:pPr>
      <w:jc w:val="both"/>
    </w:pPr>
    <w:rPr>
      <w:rFonts w:ascii="Arial" w:hAnsi="Arial"/>
      <w:sz w:val="24"/>
      <w:lang w:val="en-US"/>
    </w:rPr>
  </w:style>
  <w:style w:type="character" w:customStyle="1" w:styleId="BodyTextChar">
    <w:name w:val="Body Text Char"/>
    <w:basedOn w:val="DefaultParagraphFont"/>
    <w:link w:val="BodyText"/>
    <w:uiPriority w:val="99"/>
    <w:locked/>
    <w:rsid w:val="00B317CF"/>
    <w:rPr>
      <w:rFonts w:ascii="Arial" w:hAnsi="Arial"/>
      <w:sz w:val="20"/>
      <w:lang w:eastAsia="ru-RU"/>
    </w:rPr>
  </w:style>
  <w:style w:type="paragraph" w:styleId="BodyTextIndent">
    <w:name w:val="Body Text Indent"/>
    <w:basedOn w:val="Normal"/>
    <w:link w:val="BodyTextIndentChar"/>
    <w:uiPriority w:val="99"/>
    <w:rsid w:val="00B317CF"/>
    <w:pPr>
      <w:ind w:firstLine="851"/>
      <w:jc w:val="both"/>
    </w:pPr>
    <w:rPr>
      <w:rFonts w:ascii="Courier New" w:hAnsi="Courier New"/>
      <w:lang w:val="en-US"/>
    </w:rPr>
  </w:style>
  <w:style w:type="character" w:customStyle="1" w:styleId="BodyTextIndentChar">
    <w:name w:val="Body Text Indent Char"/>
    <w:basedOn w:val="DefaultParagraphFont"/>
    <w:link w:val="BodyTextIndent"/>
    <w:uiPriority w:val="99"/>
    <w:locked/>
    <w:rsid w:val="00B317CF"/>
    <w:rPr>
      <w:rFonts w:ascii="Courier New" w:hAnsi="Courier New"/>
      <w:sz w:val="20"/>
      <w:lang w:eastAsia="ru-RU"/>
    </w:rPr>
  </w:style>
  <w:style w:type="paragraph" w:styleId="Header">
    <w:name w:val="header"/>
    <w:basedOn w:val="Normal"/>
    <w:link w:val="HeaderChar"/>
    <w:uiPriority w:val="99"/>
    <w:rsid w:val="00B317CF"/>
    <w:pPr>
      <w:tabs>
        <w:tab w:val="center" w:pos="4153"/>
        <w:tab w:val="right" w:pos="8306"/>
      </w:tabs>
    </w:pPr>
  </w:style>
  <w:style w:type="character" w:customStyle="1" w:styleId="HeaderChar">
    <w:name w:val="Header Char"/>
    <w:basedOn w:val="DefaultParagraphFont"/>
    <w:link w:val="Header"/>
    <w:uiPriority w:val="99"/>
    <w:locked/>
    <w:rsid w:val="00B317CF"/>
    <w:rPr>
      <w:rFonts w:ascii="Times New Roman" w:hAnsi="Times New Roman"/>
      <w:sz w:val="20"/>
      <w:lang w:val="ru-RU" w:eastAsia="ru-RU"/>
    </w:rPr>
  </w:style>
  <w:style w:type="character" w:styleId="PageNumber">
    <w:name w:val="page number"/>
    <w:basedOn w:val="DefaultParagraphFont"/>
    <w:uiPriority w:val="99"/>
    <w:rsid w:val="00B317CF"/>
    <w:rPr>
      <w:rFonts w:cs="Times New Roman"/>
    </w:rPr>
  </w:style>
  <w:style w:type="paragraph" w:styleId="Footer">
    <w:name w:val="footer"/>
    <w:basedOn w:val="Normal"/>
    <w:link w:val="FooterChar"/>
    <w:uiPriority w:val="99"/>
    <w:rsid w:val="00B317CF"/>
    <w:pPr>
      <w:tabs>
        <w:tab w:val="center" w:pos="4153"/>
        <w:tab w:val="right" w:pos="8306"/>
      </w:tabs>
    </w:pPr>
    <w:rPr>
      <w:lang w:val="en-US"/>
    </w:rPr>
  </w:style>
  <w:style w:type="character" w:customStyle="1" w:styleId="FooterChar">
    <w:name w:val="Footer Char"/>
    <w:basedOn w:val="DefaultParagraphFont"/>
    <w:link w:val="Footer"/>
    <w:uiPriority w:val="99"/>
    <w:locked/>
    <w:rsid w:val="00B317CF"/>
    <w:rPr>
      <w:rFonts w:ascii="Times New Roman" w:hAnsi="Times New Roman"/>
      <w:sz w:val="20"/>
      <w:lang w:eastAsia="ru-RU"/>
    </w:rPr>
  </w:style>
  <w:style w:type="paragraph" w:styleId="TOC1">
    <w:name w:val="toc 1"/>
    <w:basedOn w:val="Normal"/>
    <w:next w:val="Normal"/>
    <w:autoRedefine/>
    <w:uiPriority w:val="99"/>
    <w:semiHidden/>
    <w:rsid w:val="00B317CF"/>
    <w:pPr>
      <w:tabs>
        <w:tab w:val="left" w:pos="720"/>
        <w:tab w:val="right" w:leader="dot" w:pos="9360"/>
      </w:tabs>
      <w:spacing w:before="120" w:after="120"/>
    </w:pPr>
    <w:rPr>
      <w:rFonts w:ascii="Arial" w:hAnsi="Arial" w:cs="Arial"/>
      <w:noProof/>
      <w:kern w:val="36"/>
      <w:sz w:val="24"/>
      <w:szCs w:val="24"/>
      <w:lang w:val="uk-UA" w:eastAsia="uk-UA"/>
    </w:rPr>
  </w:style>
  <w:style w:type="paragraph" w:customStyle="1" w:styleId="xfmc1">
    <w:name w:val="xfmc1"/>
    <w:basedOn w:val="Normal"/>
    <w:uiPriority w:val="99"/>
    <w:rsid w:val="00B317CF"/>
    <w:pPr>
      <w:spacing w:before="100" w:beforeAutospacing="1" w:after="100" w:afterAutospacing="1"/>
    </w:pPr>
    <w:rPr>
      <w:sz w:val="24"/>
      <w:szCs w:val="24"/>
      <w:lang w:val="uk-UA" w:eastAsia="uk-UA"/>
    </w:rPr>
  </w:style>
  <w:style w:type="character" w:styleId="Hyperlink">
    <w:name w:val="Hyperlink"/>
    <w:basedOn w:val="DefaultParagraphFont"/>
    <w:uiPriority w:val="99"/>
    <w:semiHidden/>
    <w:rsid w:val="00553203"/>
    <w:rPr>
      <w:rFonts w:cs="Times New Roman"/>
      <w:color w:val="0000FF"/>
      <w:u w:val="single"/>
    </w:rPr>
  </w:style>
  <w:style w:type="character" w:customStyle="1" w:styleId="tico">
    <w:name w:val="tico"/>
    <w:basedOn w:val="DefaultParagraphFont"/>
    <w:uiPriority w:val="99"/>
    <w:rsid w:val="00553203"/>
    <w:rPr>
      <w:rFonts w:cs="Times New Roman"/>
    </w:rPr>
  </w:style>
  <w:style w:type="character" w:customStyle="1" w:styleId="shortcut-wrap">
    <w:name w:val="shortcut-wrap"/>
    <w:basedOn w:val="DefaultParagraphFont"/>
    <w:uiPriority w:val="99"/>
    <w:rsid w:val="00553203"/>
    <w:rPr>
      <w:rFonts w:cs="Times New Roman"/>
    </w:rPr>
  </w:style>
  <w:style w:type="character" w:customStyle="1" w:styleId="ticarrow">
    <w:name w:val="tic_arrow"/>
    <w:basedOn w:val="DefaultParagraphFont"/>
    <w:uiPriority w:val="99"/>
    <w:rsid w:val="00553203"/>
    <w:rPr>
      <w:rFonts w:cs="Times New Roman"/>
    </w:rPr>
  </w:style>
  <w:style w:type="paragraph" w:styleId="BalloonText">
    <w:name w:val="Balloon Text"/>
    <w:basedOn w:val="Normal"/>
    <w:link w:val="BalloonTextChar"/>
    <w:uiPriority w:val="99"/>
    <w:semiHidden/>
    <w:rsid w:val="00553203"/>
    <w:rPr>
      <w:rFonts w:ascii="Tahoma" w:hAnsi="Tahoma"/>
      <w:sz w:val="16"/>
      <w:szCs w:val="16"/>
    </w:rPr>
  </w:style>
  <w:style w:type="character" w:customStyle="1" w:styleId="BalloonTextChar">
    <w:name w:val="Balloon Text Char"/>
    <w:basedOn w:val="DefaultParagraphFont"/>
    <w:link w:val="BalloonText"/>
    <w:uiPriority w:val="99"/>
    <w:semiHidden/>
    <w:locked/>
    <w:rsid w:val="00553203"/>
    <w:rPr>
      <w:rFonts w:ascii="Tahoma" w:hAnsi="Tahoma"/>
      <w:sz w:val="16"/>
      <w:lang w:val="ru-RU" w:eastAsia="ru-RU"/>
    </w:rPr>
  </w:style>
  <w:style w:type="paragraph" w:styleId="ListParagraph">
    <w:name w:val="List Paragraph"/>
    <w:basedOn w:val="Normal"/>
    <w:uiPriority w:val="99"/>
    <w:qFormat/>
    <w:rsid w:val="00AF73EA"/>
    <w:pPr>
      <w:ind w:left="720"/>
      <w:contextualSpacing/>
    </w:pPr>
  </w:style>
</w:styles>
</file>

<file path=word/webSettings.xml><?xml version="1.0" encoding="utf-8"?>
<w:webSettings xmlns:r="http://schemas.openxmlformats.org/officeDocument/2006/relationships" xmlns:w="http://schemas.openxmlformats.org/wordprocessingml/2006/main">
  <w:divs>
    <w:div w:id="2086409872">
      <w:marLeft w:val="0"/>
      <w:marRight w:val="0"/>
      <w:marTop w:val="0"/>
      <w:marBottom w:val="0"/>
      <w:divBdr>
        <w:top w:val="none" w:sz="0" w:space="0" w:color="auto"/>
        <w:left w:val="none" w:sz="0" w:space="0" w:color="auto"/>
        <w:bottom w:val="none" w:sz="0" w:space="0" w:color="auto"/>
        <w:right w:val="none" w:sz="0" w:space="0" w:color="auto"/>
      </w:divBdr>
      <w:divsChild>
        <w:div w:id="2086409864">
          <w:marLeft w:val="0"/>
          <w:marRight w:val="0"/>
          <w:marTop w:val="0"/>
          <w:marBottom w:val="0"/>
          <w:divBdr>
            <w:top w:val="none" w:sz="0" w:space="0" w:color="auto"/>
            <w:left w:val="none" w:sz="0" w:space="0" w:color="auto"/>
            <w:bottom w:val="none" w:sz="0" w:space="0" w:color="auto"/>
            <w:right w:val="none" w:sz="0" w:space="0" w:color="auto"/>
          </w:divBdr>
          <w:divsChild>
            <w:div w:id="2086409859">
              <w:marLeft w:val="0"/>
              <w:marRight w:val="0"/>
              <w:marTop w:val="0"/>
              <w:marBottom w:val="0"/>
              <w:divBdr>
                <w:top w:val="none" w:sz="0" w:space="0" w:color="auto"/>
                <w:left w:val="none" w:sz="0" w:space="0" w:color="auto"/>
                <w:bottom w:val="none" w:sz="0" w:space="0" w:color="auto"/>
                <w:right w:val="none" w:sz="0" w:space="0" w:color="auto"/>
              </w:divBdr>
              <w:divsChild>
                <w:div w:id="2086409846">
                  <w:marLeft w:val="0"/>
                  <w:marRight w:val="0"/>
                  <w:marTop w:val="0"/>
                  <w:marBottom w:val="0"/>
                  <w:divBdr>
                    <w:top w:val="none" w:sz="0" w:space="0" w:color="auto"/>
                    <w:left w:val="none" w:sz="0" w:space="0" w:color="auto"/>
                    <w:bottom w:val="none" w:sz="0" w:space="0" w:color="auto"/>
                    <w:right w:val="none" w:sz="0" w:space="0" w:color="auto"/>
                  </w:divBdr>
                  <w:divsChild>
                    <w:div w:id="2086409824">
                      <w:marLeft w:val="0"/>
                      <w:marRight w:val="0"/>
                      <w:marTop w:val="0"/>
                      <w:marBottom w:val="0"/>
                      <w:divBdr>
                        <w:top w:val="none" w:sz="0" w:space="0" w:color="auto"/>
                        <w:left w:val="none" w:sz="0" w:space="0" w:color="auto"/>
                        <w:bottom w:val="none" w:sz="0" w:space="0" w:color="auto"/>
                        <w:right w:val="none" w:sz="0" w:space="0" w:color="auto"/>
                      </w:divBdr>
                      <w:divsChild>
                        <w:div w:id="2086409827">
                          <w:marLeft w:val="0"/>
                          <w:marRight w:val="0"/>
                          <w:marTop w:val="0"/>
                          <w:marBottom w:val="0"/>
                          <w:divBdr>
                            <w:top w:val="none" w:sz="0" w:space="0" w:color="auto"/>
                            <w:left w:val="none" w:sz="0" w:space="0" w:color="auto"/>
                            <w:bottom w:val="none" w:sz="0" w:space="0" w:color="auto"/>
                            <w:right w:val="none" w:sz="0" w:space="0" w:color="auto"/>
                          </w:divBdr>
                          <w:divsChild>
                            <w:div w:id="2086409837">
                              <w:marLeft w:val="0"/>
                              <w:marRight w:val="0"/>
                              <w:marTop w:val="0"/>
                              <w:marBottom w:val="0"/>
                              <w:divBdr>
                                <w:top w:val="none" w:sz="0" w:space="0" w:color="auto"/>
                                <w:left w:val="none" w:sz="0" w:space="0" w:color="auto"/>
                                <w:bottom w:val="none" w:sz="0" w:space="0" w:color="auto"/>
                                <w:right w:val="none" w:sz="0" w:space="0" w:color="auto"/>
                              </w:divBdr>
                              <w:divsChild>
                                <w:div w:id="2086409876">
                                  <w:marLeft w:val="0"/>
                                  <w:marRight w:val="0"/>
                                  <w:marTop w:val="0"/>
                                  <w:marBottom w:val="0"/>
                                  <w:divBdr>
                                    <w:top w:val="none" w:sz="0" w:space="0" w:color="auto"/>
                                    <w:left w:val="none" w:sz="0" w:space="0" w:color="auto"/>
                                    <w:bottom w:val="none" w:sz="0" w:space="0" w:color="auto"/>
                                    <w:right w:val="none" w:sz="0" w:space="0" w:color="auto"/>
                                  </w:divBdr>
                                  <w:divsChild>
                                    <w:div w:id="2086409878">
                                      <w:marLeft w:val="0"/>
                                      <w:marRight w:val="0"/>
                                      <w:marTop w:val="0"/>
                                      <w:marBottom w:val="0"/>
                                      <w:divBdr>
                                        <w:top w:val="none" w:sz="0" w:space="0" w:color="auto"/>
                                        <w:left w:val="none" w:sz="0" w:space="0" w:color="auto"/>
                                        <w:bottom w:val="none" w:sz="0" w:space="0" w:color="auto"/>
                                        <w:right w:val="none" w:sz="0" w:space="0" w:color="auto"/>
                                      </w:divBdr>
                                      <w:divsChild>
                                        <w:div w:id="2086409886">
                                          <w:marLeft w:val="0"/>
                                          <w:marRight w:val="0"/>
                                          <w:marTop w:val="0"/>
                                          <w:marBottom w:val="0"/>
                                          <w:divBdr>
                                            <w:top w:val="none" w:sz="0" w:space="0" w:color="auto"/>
                                            <w:left w:val="none" w:sz="0" w:space="0" w:color="auto"/>
                                            <w:bottom w:val="none" w:sz="0" w:space="0" w:color="auto"/>
                                            <w:right w:val="none" w:sz="0" w:space="0" w:color="auto"/>
                                          </w:divBdr>
                                          <w:divsChild>
                                            <w:div w:id="20864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09860">
                          <w:marLeft w:val="0"/>
                          <w:marRight w:val="0"/>
                          <w:marTop w:val="0"/>
                          <w:marBottom w:val="0"/>
                          <w:divBdr>
                            <w:top w:val="none" w:sz="0" w:space="0" w:color="auto"/>
                            <w:left w:val="none" w:sz="0" w:space="0" w:color="auto"/>
                            <w:bottom w:val="none" w:sz="0" w:space="0" w:color="auto"/>
                            <w:right w:val="none" w:sz="0" w:space="0" w:color="auto"/>
                          </w:divBdr>
                          <w:divsChild>
                            <w:div w:id="2086409851">
                              <w:marLeft w:val="0"/>
                              <w:marRight w:val="0"/>
                              <w:marTop w:val="0"/>
                              <w:marBottom w:val="0"/>
                              <w:divBdr>
                                <w:top w:val="none" w:sz="0" w:space="0" w:color="auto"/>
                                <w:left w:val="none" w:sz="0" w:space="0" w:color="auto"/>
                                <w:bottom w:val="none" w:sz="0" w:space="0" w:color="auto"/>
                                <w:right w:val="none" w:sz="0" w:space="0" w:color="auto"/>
                              </w:divBdr>
                              <w:divsChild>
                                <w:div w:id="2086409826">
                                  <w:marLeft w:val="0"/>
                                  <w:marRight w:val="0"/>
                                  <w:marTop w:val="0"/>
                                  <w:marBottom w:val="0"/>
                                  <w:divBdr>
                                    <w:top w:val="none" w:sz="0" w:space="0" w:color="auto"/>
                                    <w:left w:val="none" w:sz="0" w:space="0" w:color="auto"/>
                                    <w:bottom w:val="none" w:sz="0" w:space="0" w:color="auto"/>
                                    <w:right w:val="none" w:sz="0" w:space="0" w:color="auto"/>
                                  </w:divBdr>
                                  <w:divsChild>
                                    <w:div w:id="2086409883">
                                      <w:marLeft w:val="0"/>
                                      <w:marRight w:val="0"/>
                                      <w:marTop w:val="0"/>
                                      <w:marBottom w:val="0"/>
                                      <w:divBdr>
                                        <w:top w:val="none" w:sz="0" w:space="0" w:color="auto"/>
                                        <w:left w:val="none" w:sz="0" w:space="0" w:color="auto"/>
                                        <w:bottom w:val="none" w:sz="0" w:space="0" w:color="auto"/>
                                        <w:right w:val="none" w:sz="0" w:space="0" w:color="auto"/>
                                      </w:divBdr>
                                      <w:divsChild>
                                        <w:div w:id="2086409874">
                                          <w:marLeft w:val="0"/>
                                          <w:marRight w:val="0"/>
                                          <w:marTop w:val="0"/>
                                          <w:marBottom w:val="0"/>
                                          <w:divBdr>
                                            <w:top w:val="none" w:sz="0" w:space="0" w:color="auto"/>
                                            <w:left w:val="none" w:sz="0" w:space="0" w:color="auto"/>
                                            <w:bottom w:val="none" w:sz="0" w:space="0" w:color="auto"/>
                                            <w:right w:val="none" w:sz="0" w:space="0" w:color="auto"/>
                                          </w:divBdr>
                                          <w:divsChild>
                                            <w:div w:id="20864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09861">
                              <w:marLeft w:val="0"/>
                              <w:marRight w:val="0"/>
                              <w:marTop w:val="0"/>
                              <w:marBottom w:val="0"/>
                              <w:divBdr>
                                <w:top w:val="none" w:sz="0" w:space="0" w:color="auto"/>
                                <w:left w:val="none" w:sz="0" w:space="0" w:color="auto"/>
                                <w:bottom w:val="none" w:sz="0" w:space="0" w:color="auto"/>
                                <w:right w:val="none" w:sz="0" w:space="0" w:color="auto"/>
                              </w:divBdr>
                              <w:divsChild>
                                <w:div w:id="2086409848">
                                  <w:marLeft w:val="0"/>
                                  <w:marRight w:val="0"/>
                                  <w:marTop w:val="0"/>
                                  <w:marBottom w:val="0"/>
                                  <w:divBdr>
                                    <w:top w:val="none" w:sz="0" w:space="0" w:color="auto"/>
                                    <w:left w:val="none" w:sz="0" w:space="0" w:color="auto"/>
                                    <w:bottom w:val="none" w:sz="0" w:space="0" w:color="auto"/>
                                    <w:right w:val="none" w:sz="0" w:space="0" w:color="auto"/>
                                  </w:divBdr>
                                </w:div>
                                <w:div w:id="20864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409881">
          <w:marLeft w:val="0"/>
          <w:marRight w:val="0"/>
          <w:marTop w:val="0"/>
          <w:marBottom w:val="0"/>
          <w:divBdr>
            <w:top w:val="none" w:sz="0" w:space="0" w:color="auto"/>
            <w:left w:val="none" w:sz="0" w:space="0" w:color="auto"/>
            <w:bottom w:val="none" w:sz="0" w:space="0" w:color="auto"/>
            <w:right w:val="none" w:sz="0" w:space="0" w:color="auto"/>
          </w:divBdr>
          <w:divsChild>
            <w:div w:id="2086409841">
              <w:marLeft w:val="0"/>
              <w:marRight w:val="0"/>
              <w:marTop w:val="0"/>
              <w:marBottom w:val="0"/>
              <w:divBdr>
                <w:top w:val="none" w:sz="0" w:space="0" w:color="auto"/>
                <w:left w:val="none" w:sz="0" w:space="0" w:color="auto"/>
                <w:bottom w:val="none" w:sz="0" w:space="0" w:color="auto"/>
                <w:right w:val="none" w:sz="0" w:space="0" w:color="auto"/>
              </w:divBdr>
              <w:divsChild>
                <w:div w:id="2086409863">
                  <w:marLeft w:val="0"/>
                  <w:marRight w:val="0"/>
                  <w:marTop w:val="0"/>
                  <w:marBottom w:val="0"/>
                  <w:divBdr>
                    <w:top w:val="none" w:sz="0" w:space="0" w:color="auto"/>
                    <w:left w:val="none" w:sz="0" w:space="0" w:color="auto"/>
                    <w:bottom w:val="none" w:sz="0" w:space="0" w:color="auto"/>
                    <w:right w:val="none" w:sz="0" w:space="0" w:color="auto"/>
                  </w:divBdr>
                  <w:divsChild>
                    <w:div w:id="2086409832">
                      <w:marLeft w:val="0"/>
                      <w:marRight w:val="0"/>
                      <w:marTop w:val="0"/>
                      <w:marBottom w:val="0"/>
                      <w:divBdr>
                        <w:top w:val="none" w:sz="0" w:space="0" w:color="auto"/>
                        <w:left w:val="none" w:sz="0" w:space="0" w:color="auto"/>
                        <w:bottom w:val="none" w:sz="0" w:space="0" w:color="auto"/>
                        <w:right w:val="none" w:sz="0" w:space="0" w:color="auto"/>
                      </w:divBdr>
                      <w:divsChild>
                        <w:div w:id="2086409842">
                          <w:marLeft w:val="0"/>
                          <w:marRight w:val="0"/>
                          <w:marTop w:val="0"/>
                          <w:marBottom w:val="0"/>
                          <w:divBdr>
                            <w:top w:val="none" w:sz="0" w:space="0" w:color="auto"/>
                            <w:left w:val="none" w:sz="0" w:space="0" w:color="auto"/>
                            <w:bottom w:val="none" w:sz="0" w:space="0" w:color="auto"/>
                            <w:right w:val="none" w:sz="0" w:space="0" w:color="auto"/>
                          </w:divBdr>
                          <w:divsChild>
                            <w:div w:id="2086409880">
                              <w:marLeft w:val="0"/>
                              <w:marRight w:val="0"/>
                              <w:marTop w:val="0"/>
                              <w:marBottom w:val="0"/>
                              <w:divBdr>
                                <w:top w:val="none" w:sz="0" w:space="0" w:color="auto"/>
                                <w:left w:val="none" w:sz="0" w:space="0" w:color="auto"/>
                                <w:bottom w:val="none" w:sz="0" w:space="0" w:color="auto"/>
                                <w:right w:val="none" w:sz="0" w:space="0" w:color="auto"/>
                              </w:divBdr>
                              <w:divsChild>
                                <w:div w:id="2086409862">
                                  <w:marLeft w:val="0"/>
                                  <w:marRight w:val="0"/>
                                  <w:marTop w:val="0"/>
                                  <w:marBottom w:val="0"/>
                                  <w:divBdr>
                                    <w:top w:val="none" w:sz="0" w:space="0" w:color="auto"/>
                                    <w:left w:val="none" w:sz="0" w:space="0" w:color="auto"/>
                                    <w:bottom w:val="none" w:sz="0" w:space="0" w:color="auto"/>
                                    <w:right w:val="none" w:sz="0" w:space="0" w:color="auto"/>
                                  </w:divBdr>
                                  <w:divsChild>
                                    <w:div w:id="2086409839">
                                      <w:marLeft w:val="0"/>
                                      <w:marRight w:val="0"/>
                                      <w:marTop w:val="0"/>
                                      <w:marBottom w:val="0"/>
                                      <w:divBdr>
                                        <w:top w:val="none" w:sz="0" w:space="0" w:color="auto"/>
                                        <w:left w:val="none" w:sz="0" w:space="0" w:color="auto"/>
                                        <w:bottom w:val="none" w:sz="0" w:space="0" w:color="auto"/>
                                        <w:right w:val="none" w:sz="0" w:space="0" w:color="auto"/>
                                      </w:divBdr>
                                      <w:divsChild>
                                        <w:div w:id="2086409830">
                                          <w:marLeft w:val="0"/>
                                          <w:marRight w:val="0"/>
                                          <w:marTop w:val="0"/>
                                          <w:marBottom w:val="0"/>
                                          <w:divBdr>
                                            <w:top w:val="none" w:sz="0" w:space="0" w:color="auto"/>
                                            <w:left w:val="none" w:sz="0" w:space="0" w:color="auto"/>
                                            <w:bottom w:val="none" w:sz="0" w:space="0" w:color="auto"/>
                                            <w:right w:val="none" w:sz="0" w:space="0" w:color="auto"/>
                                          </w:divBdr>
                                        </w:div>
                                        <w:div w:id="2086409858">
                                          <w:marLeft w:val="0"/>
                                          <w:marRight w:val="0"/>
                                          <w:marTop w:val="0"/>
                                          <w:marBottom w:val="0"/>
                                          <w:divBdr>
                                            <w:top w:val="none" w:sz="0" w:space="0" w:color="auto"/>
                                            <w:left w:val="none" w:sz="0" w:space="0" w:color="auto"/>
                                            <w:bottom w:val="none" w:sz="0" w:space="0" w:color="auto"/>
                                            <w:right w:val="none" w:sz="0" w:space="0" w:color="auto"/>
                                          </w:divBdr>
                                          <w:divsChild>
                                            <w:div w:id="2086409836">
                                              <w:marLeft w:val="0"/>
                                              <w:marRight w:val="0"/>
                                              <w:marTop w:val="0"/>
                                              <w:marBottom w:val="0"/>
                                              <w:divBdr>
                                                <w:top w:val="none" w:sz="0" w:space="0" w:color="auto"/>
                                                <w:left w:val="none" w:sz="0" w:space="0" w:color="auto"/>
                                                <w:bottom w:val="none" w:sz="0" w:space="0" w:color="auto"/>
                                                <w:right w:val="none" w:sz="0" w:space="0" w:color="auto"/>
                                              </w:divBdr>
                                              <w:divsChild>
                                                <w:div w:id="2086409835">
                                                  <w:marLeft w:val="0"/>
                                                  <w:marRight w:val="0"/>
                                                  <w:marTop w:val="0"/>
                                                  <w:marBottom w:val="0"/>
                                                  <w:divBdr>
                                                    <w:top w:val="none" w:sz="0" w:space="0" w:color="auto"/>
                                                    <w:left w:val="none" w:sz="0" w:space="0" w:color="auto"/>
                                                    <w:bottom w:val="none" w:sz="0" w:space="0" w:color="auto"/>
                                                    <w:right w:val="none" w:sz="0" w:space="0" w:color="auto"/>
                                                  </w:divBdr>
                                                  <w:divsChild>
                                                    <w:div w:id="2086409829">
                                                      <w:marLeft w:val="0"/>
                                                      <w:marRight w:val="0"/>
                                                      <w:marTop w:val="0"/>
                                                      <w:marBottom w:val="0"/>
                                                      <w:divBdr>
                                                        <w:top w:val="none" w:sz="0" w:space="0" w:color="auto"/>
                                                        <w:left w:val="none" w:sz="0" w:space="0" w:color="auto"/>
                                                        <w:bottom w:val="none" w:sz="0" w:space="0" w:color="auto"/>
                                                        <w:right w:val="none" w:sz="0" w:space="0" w:color="auto"/>
                                                      </w:divBdr>
                                                    </w:div>
                                                  </w:divsChild>
                                                </w:div>
                                                <w:div w:id="2086409884">
                                                  <w:marLeft w:val="0"/>
                                                  <w:marRight w:val="0"/>
                                                  <w:marTop w:val="0"/>
                                                  <w:marBottom w:val="0"/>
                                                  <w:divBdr>
                                                    <w:top w:val="none" w:sz="0" w:space="0" w:color="auto"/>
                                                    <w:left w:val="none" w:sz="0" w:space="0" w:color="auto"/>
                                                    <w:bottom w:val="none" w:sz="0" w:space="0" w:color="auto"/>
                                                    <w:right w:val="none" w:sz="0" w:space="0" w:color="auto"/>
                                                  </w:divBdr>
                                                </w:div>
                                              </w:divsChild>
                                            </w:div>
                                            <w:div w:id="2086409844">
                                              <w:marLeft w:val="0"/>
                                              <w:marRight w:val="0"/>
                                              <w:marTop w:val="0"/>
                                              <w:marBottom w:val="0"/>
                                              <w:divBdr>
                                                <w:top w:val="none" w:sz="0" w:space="0" w:color="auto"/>
                                                <w:left w:val="none" w:sz="0" w:space="0" w:color="auto"/>
                                                <w:bottom w:val="none" w:sz="0" w:space="0" w:color="auto"/>
                                                <w:right w:val="none" w:sz="0" w:space="0" w:color="auto"/>
                                              </w:divBdr>
                                              <w:divsChild>
                                                <w:div w:id="2086409840">
                                                  <w:marLeft w:val="0"/>
                                                  <w:marRight w:val="0"/>
                                                  <w:marTop w:val="0"/>
                                                  <w:marBottom w:val="0"/>
                                                  <w:divBdr>
                                                    <w:top w:val="none" w:sz="0" w:space="0" w:color="auto"/>
                                                    <w:left w:val="none" w:sz="0" w:space="0" w:color="auto"/>
                                                    <w:bottom w:val="none" w:sz="0" w:space="0" w:color="auto"/>
                                                    <w:right w:val="none" w:sz="0" w:space="0" w:color="auto"/>
                                                  </w:divBdr>
                                                </w:div>
                                                <w:div w:id="2086409854">
                                                  <w:marLeft w:val="0"/>
                                                  <w:marRight w:val="0"/>
                                                  <w:marTop w:val="0"/>
                                                  <w:marBottom w:val="0"/>
                                                  <w:divBdr>
                                                    <w:top w:val="none" w:sz="0" w:space="0" w:color="auto"/>
                                                    <w:left w:val="none" w:sz="0" w:space="0" w:color="auto"/>
                                                    <w:bottom w:val="none" w:sz="0" w:space="0" w:color="auto"/>
                                                    <w:right w:val="none" w:sz="0" w:space="0" w:color="auto"/>
                                                  </w:divBdr>
                                                  <w:divsChild>
                                                    <w:div w:id="208640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09857">
                                              <w:marLeft w:val="0"/>
                                              <w:marRight w:val="0"/>
                                              <w:marTop w:val="0"/>
                                              <w:marBottom w:val="0"/>
                                              <w:divBdr>
                                                <w:top w:val="none" w:sz="0" w:space="0" w:color="auto"/>
                                                <w:left w:val="none" w:sz="0" w:space="0" w:color="auto"/>
                                                <w:bottom w:val="none" w:sz="0" w:space="0" w:color="auto"/>
                                                <w:right w:val="none" w:sz="0" w:space="0" w:color="auto"/>
                                              </w:divBdr>
                                              <w:divsChild>
                                                <w:div w:id="2086409821">
                                                  <w:marLeft w:val="0"/>
                                                  <w:marRight w:val="0"/>
                                                  <w:marTop w:val="0"/>
                                                  <w:marBottom w:val="0"/>
                                                  <w:divBdr>
                                                    <w:top w:val="none" w:sz="0" w:space="0" w:color="auto"/>
                                                    <w:left w:val="none" w:sz="0" w:space="0" w:color="auto"/>
                                                    <w:bottom w:val="none" w:sz="0" w:space="0" w:color="auto"/>
                                                    <w:right w:val="none" w:sz="0" w:space="0" w:color="auto"/>
                                                  </w:divBdr>
                                                  <w:divsChild>
                                                    <w:div w:id="2086409831">
                                                      <w:marLeft w:val="0"/>
                                                      <w:marRight w:val="0"/>
                                                      <w:marTop w:val="0"/>
                                                      <w:marBottom w:val="0"/>
                                                      <w:divBdr>
                                                        <w:top w:val="none" w:sz="0" w:space="0" w:color="auto"/>
                                                        <w:left w:val="none" w:sz="0" w:space="0" w:color="auto"/>
                                                        <w:bottom w:val="none" w:sz="0" w:space="0" w:color="auto"/>
                                                        <w:right w:val="none" w:sz="0" w:space="0" w:color="auto"/>
                                                      </w:divBdr>
                                                    </w:div>
                                                  </w:divsChild>
                                                </w:div>
                                                <w:div w:id="2086409843">
                                                  <w:marLeft w:val="0"/>
                                                  <w:marRight w:val="0"/>
                                                  <w:marTop w:val="0"/>
                                                  <w:marBottom w:val="0"/>
                                                  <w:divBdr>
                                                    <w:top w:val="none" w:sz="0" w:space="0" w:color="auto"/>
                                                    <w:left w:val="none" w:sz="0" w:space="0" w:color="auto"/>
                                                    <w:bottom w:val="none" w:sz="0" w:space="0" w:color="auto"/>
                                                    <w:right w:val="none" w:sz="0" w:space="0" w:color="auto"/>
                                                  </w:divBdr>
                                                </w:div>
                                              </w:divsChild>
                                            </w:div>
                                            <w:div w:id="2086409865">
                                              <w:marLeft w:val="0"/>
                                              <w:marRight w:val="0"/>
                                              <w:marTop w:val="0"/>
                                              <w:marBottom w:val="0"/>
                                              <w:divBdr>
                                                <w:top w:val="none" w:sz="0" w:space="0" w:color="auto"/>
                                                <w:left w:val="none" w:sz="0" w:space="0" w:color="auto"/>
                                                <w:bottom w:val="none" w:sz="0" w:space="0" w:color="auto"/>
                                                <w:right w:val="none" w:sz="0" w:space="0" w:color="auto"/>
                                              </w:divBdr>
                                              <w:divsChild>
                                                <w:div w:id="2086409828">
                                                  <w:marLeft w:val="0"/>
                                                  <w:marRight w:val="0"/>
                                                  <w:marTop w:val="0"/>
                                                  <w:marBottom w:val="0"/>
                                                  <w:divBdr>
                                                    <w:top w:val="none" w:sz="0" w:space="0" w:color="auto"/>
                                                    <w:left w:val="none" w:sz="0" w:space="0" w:color="auto"/>
                                                    <w:bottom w:val="none" w:sz="0" w:space="0" w:color="auto"/>
                                                    <w:right w:val="none" w:sz="0" w:space="0" w:color="auto"/>
                                                  </w:divBdr>
                                                </w:div>
                                                <w:div w:id="2086409850">
                                                  <w:marLeft w:val="0"/>
                                                  <w:marRight w:val="0"/>
                                                  <w:marTop w:val="0"/>
                                                  <w:marBottom w:val="0"/>
                                                  <w:divBdr>
                                                    <w:top w:val="none" w:sz="0" w:space="0" w:color="auto"/>
                                                    <w:left w:val="none" w:sz="0" w:space="0" w:color="auto"/>
                                                    <w:bottom w:val="none" w:sz="0" w:space="0" w:color="auto"/>
                                                    <w:right w:val="none" w:sz="0" w:space="0" w:color="auto"/>
                                                  </w:divBdr>
                                                  <w:divsChild>
                                                    <w:div w:id="2086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09866">
                                              <w:marLeft w:val="0"/>
                                              <w:marRight w:val="0"/>
                                              <w:marTop w:val="0"/>
                                              <w:marBottom w:val="0"/>
                                              <w:divBdr>
                                                <w:top w:val="none" w:sz="0" w:space="0" w:color="auto"/>
                                                <w:left w:val="none" w:sz="0" w:space="0" w:color="auto"/>
                                                <w:bottom w:val="none" w:sz="0" w:space="0" w:color="auto"/>
                                                <w:right w:val="none" w:sz="0" w:space="0" w:color="auto"/>
                                              </w:divBdr>
                                              <w:divsChild>
                                                <w:div w:id="2086409833">
                                                  <w:marLeft w:val="0"/>
                                                  <w:marRight w:val="0"/>
                                                  <w:marTop w:val="0"/>
                                                  <w:marBottom w:val="0"/>
                                                  <w:divBdr>
                                                    <w:top w:val="none" w:sz="0" w:space="0" w:color="auto"/>
                                                    <w:left w:val="none" w:sz="0" w:space="0" w:color="auto"/>
                                                    <w:bottom w:val="none" w:sz="0" w:space="0" w:color="auto"/>
                                                    <w:right w:val="none" w:sz="0" w:space="0" w:color="auto"/>
                                                  </w:divBdr>
                                                  <w:divsChild>
                                                    <w:div w:id="2086409823">
                                                      <w:marLeft w:val="0"/>
                                                      <w:marRight w:val="0"/>
                                                      <w:marTop w:val="0"/>
                                                      <w:marBottom w:val="0"/>
                                                      <w:divBdr>
                                                        <w:top w:val="none" w:sz="0" w:space="0" w:color="auto"/>
                                                        <w:left w:val="none" w:sz="0" w:space="0" w:color="auto"/>
                                                        <w:bottom w:val="none" w:sz="0" w:space="0" w:color="auto"/>
                                                        <w:right w:val="none" w:sz="0" w:space="0" w:color="auto"/>
                                                      </w:divBdr>
                                                    </w:div>
                                                  </w:divsChild>
                                                </w:div>
                                                <w:div w:id="2086409882">
                                                  <w:marLeft w:val="0"/>
                                                  <w:marRight w:val="0"/>
                                                  <w:marTop w:val="0"/>
                                                  <w:marBottom w:val="0"/>
                                                  <w:divBdr>
                                                    <w:top w:val="none" w:sz="0" w:space="0" w:color="auto"/>
                                                    <w:left w:val="none" w:sz="0" w:space="0" w:color="auto"/>
                                                    <w:bottom w:val="none" w:sz="0" w:space="0" w:color="auto"/>
                                                    <w:right w:val="none" w:sz="0" w:space="0" w:color="auto"/>
                                                  </w:divBdr>
                                                </w:div>
                                              </w:divsChild>
                                            </w:div>
                                            <w:div w:id="2086409868">
                                              <w:marLeft w:val="0"/>
                                              <w:marRight w:val="0"/>
                                              <w:marTop w:val="0"/>
                                              <w:marBottom w:val="0"/>
                                              <w:divBdr>
                                                <w:top w:val="none" w:sz="0" w:space="0" w:color="auto"/>
                                                <w:left w:val="none" w:sz="0" w:space="0" w:color="auto"/>
                                                <w:bottom w:val="none" w:sz="0" w:space="0" w:color="auto"/>
                                                <w:right w:val="none" w:sz="0" w:space="0" w:color="auto"/>
                                              </w:divBdr>
                                              <w:divsChild>
                                                <w:div w:id="2086409825">
                                                  <w:marLeft w:val="0"/>
                                                  <w:marRight w:val="0"/>
                                                  <w:marTop w:val="0"/>
                                                  <w:marBottom w:val="0"/>
                                                  <w:divBdr>
                                                    <w:top w:val="none" w:sz="0" w:space="0" w:color="auto"/>
                                                    <w:left w:val="none" w:sz="0" w:space="0" w:color="auto"/>
                                                    <w:bottom w:val="none" w:sz="0" w:space="0" w:color="auto"/>
                                                    <w:right w:val="none" w:sz="0" w:space="0" w:color="auto"/>
                                                  </w:divBdr>
                                                  <w:divsChild>
                                                    <w:div w:id="2086409867">
                                                      <w:marLeft w:val="0"/>
                                                      <w:marRight w:val="0"/>
                                                      <w:marTop w:val="0"/>
                                                      <w:marBottom w:val="0"/>
                                                      <w:divBdr>
                                                        <w:top w:val="none" w:sz="0" w:space="0" w:color="auto"/>
                                                        <w:left w:val="none" w:sz="0" w:space="0" w:color="auto"/>
                                                        <w:bottom w:val="none" w:sz="0" w:space="0" w:color="auto"/>
                                                        <w:right w:val="none" w:sz="0" w:space="0" w:color="auto"/>
                                                      </w:divBdr>
                                                    </w:div>
                                                  </w:divsChild>
                                                </w:div>
                                                <w:div w:id="2086409838">
                                                  <w:marLeft w:val="0"/>
                                                  <w:marRight w:val="0"/>
                                                  <w:marTop w:val="0"/>
                                                  <w:marBottom w:val="0"/>
                                                  <w:divBdr>
                                                    <w:top w:val="none" w:sz="0" w:space="0" w:color="auto"/>
                                                    <w:left w:val="none" w:sz="0" w:space="0" w:color="auto"/>
                                                    <w:bottom w:val="none" w:sz="0" w:space="0" w:color="auto"/>
                                                    <w:right w:val="none" w:sz="0" w:space="0" w:color="auto"/>
                                                  </w:divBdr>
                                                </w:div>
                                              </w:divsChild>
                                            </w:div>
                                            <w:div w:id="2086409871">
                                              <w:marLeft w:val="0"/>
                                              <w:marRight w:val="0"/>
                                              <w:marTop w:val="0"/>
                                              <w:marBottom w:val="0"/>
                                              <w:divBdr>
                                                <w:top w:val="none" w:sz="0" w:space="0" w:color="auto"/>
                                                <w:left w:val="none" w:sz="0" w:space="0" w:color="auto"/>
                                                <w:bottom w:val="none" w:sz="0" w:space="0" w:color="auto"/>
                                                <w:right w:val="none" w:sz="0" w:space="0" w:color="auto"/>
                                              </w:divBdr>
                                              <w:divsChild>
                                                <w:div w:id="2086409845">
                                                  <w:marLeft w:val="0"/>
                                                  <w:marRight w:val="0"/>
                                                  <w:marTop w:val="0"/>
                                                  <w:marBottom w:val="0"/>
                                                  <w:divBdr>
                                                    <w:top w:val="none" w:sz="0" w:space="0" w:color="auto"/>
                                                    <w:left w:val="none" w:sz="0" w:space="0" w:color="auto"/>
                                                    <w:bottom w:val="none" w:sz="0" w:space="0" w:color="auto"/>
                                                    <w:right w:val="none" w:sz="0" w:space="0" w:color="auto"/>
                                                  </w:divBdr>
                                                  <w:divsChild>
                                                    <w:div w:id="2086409820">
                                                      <w:marLeft w:val="0"/>
                                                      <w:marRight w:val="0"/>
                                                      <w:marTop w:val="0"/>
                                                      <w:marBottom w:val="0"/>
                                                      <w:divBdr>
                                                        <w:top w:val="none" w:sz="0" w:space="0" w:color="auto"/>
                                                        <w:left w:val="none" w:sz="0" w:space="0" w:color="auto"/>
                                                        <w:bottom w:val="none" w:sz="0" w:space="0" w:color="auto"/>
                                                        <w:right w:val="none" w:sz="0" w:space="0" w:color="auto"/>
                                                      </w:divBdr>
                                                    </w:div>
                                                  </w:divsChild>
                                                </w:div>
                                                <w:div w:id="2086409855">
                                                  <w:marLeft w:val="0"/>
                                                  <w:marRight w:val="0"/>
                                                  <w:marTop w:val="0"/>
                                                  <w:marBottom w:val="0"/>
                                                  <w:divBdr>
                                                    <w:top w:val="none" w:sz="0" w:space="0" w:color="auto"/>
                                                    <w:left w:val="none" w:sz="0" w:space="0" w:color="auto"/>
                                                    <w:bottom w:val="none" w:sz="0" w:space="0" w:color="auto"/>
                                                    <w:right w:val="none" w:sz="0" w:space="0" w:color="auto"/>
                                                  </w:divBdr>
                                                </w:div>
                                              </w:divsChild>
                                            </w:div>
                                            <w:div w:id="2086409879">
                                              <w:marLeft w:val="0"/>
                                              <w:marRight w:val="0"/>
                                              <w:marTop w:val="0"/>
                                              <w:marBottom w:val="0"/>
                                              <w:divBdr>
                                                <w:top w:val="none" w:sz="0" w:space="0" w:color="auto"/>
                                                <w:left w:val="none" w:sz="0" w:space="0" w:color="auto"/>
                                                <w:bottom w:val="none" w:sz="0" w:space="0" w:color="auto"/>
                                                <w:right w:val="none" w:sz="0" w:space="0" w:color="auto"/>
                                              </w:divBdr>
                                              <w:divsChild>
                                                <w:div w:id="2086409822">
                                                  <w:marLeft w:val="0"/>
                                                  <w:marRight w:val="0"/>
                                                  <w:marTop w:val="0"/>
                                                  <w:marBottom w:val="0"/>
                                                  <w:divBdr>
                                                    <w:top w:val="none" w:sz="0" w:space="0" w:color="auto"/>
                                                    <w:left w:val="none" w:sz="0" w:space="0" w:color="auto"/>
                                                    <w:bottom w:val="none" w:sz="0" w:space="0" w:color="auto"/>
                                                    <w:right w:val="none" w:sz="0" w:space="0" w:color="auto"/>
                                                  </w:divBdr>
                                                </w:div>
                                                <w:div w:id="2086409869">
                                                  <w:marLeft w:val="0"/>
                                                  <w:marRight w:val="0"/>
                                                  <w:marTop w:val="0"/>
                                                  <w:marBottom w:val="0"/>
                                                  <w:divBdr>
                                                    <w:top w:val="none" w:sz="0" w:space="0" w:color="auto"/>
                                                    <w:left w:val="none" w:sz="0" w:space="0" w:color="auto"/>
                                                    <w:bottom w:val="none" w:sz="0" w:space="0" w:color="auto"/>
                                                    <w:right w:val="none" w:sz="0" w:space="0" w:color="auto"/>
                                                  </w:divBdr>
                                                  <w:divsChild>
                                                    <w:div w:id="20864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09887">
                                              <w:marLeft w:val="0"/>
                                              <w:marRight w:val="0"/>
                                              <w:marTop w:val="0"/>
                                              <w:marBottom w:val="0"/>
                                              <w:divBdr>
                                                <w:top w:val="none" w:sz="0" w:space="0" w:color="auto"/>
                                                <w:left w:val="none" w:sz="0" w:space="0" w:color="auto"/>
                                                <w:bottom w:val="none" w:sz="0" w:space="0" w:color="auto"/>
                                                <w:right w:val="none" w:sz="0" w:space="0" w:color="auto"/>
                                              </w:divBdr>
                                              <w:divsChild>
                                                <w:div w:id="2086409834">
                                                  <w:marLeft w:val="0"/>
                                                  <w:marRight w:val="0"/>
                                                  <w:marTop w:val="0"/>
                                                  <w:marBottom w:val="0"/>
                                                  <w:divBdr>
                                                    <w:top w:val="none" w:sz="0" w:space="0" w:color="auto"/>
                                                    <w:left w:val="none" w:sz="0" w:space="0" w:color="auto"/>
                                                    <w:bottom w:val="none" w:sz="0" w:space="0" w:color="auto"/>
                                                    <w:right w:val="none" w:sz="0" w:space="0" w:color="auto"/>
                                                  </w:divBdr>
                                                  <w:divsChild>
                                                    <w:div w:id="2086409847">
                                                      <w:marLeft w:val="0"/>
                                                      <w:marRight w:val="0"/>
                                                      <w:marTop w:val="0"/>
                                                      <w:marBottom w:val="0"/>
                                                      <w:divBdr>
                                                        <w:top w:val="none" w:sz="0" w:space="0" w:color="auto"/>
                                                        <w:left w:val="none" w:sz="0" w:space="0" w:color="auto"/>
                                                        <w:bottom w:val="none" w:sz="0" w:space="0" w:color="auto"/>
                                                        <w:right w:val="none" w:sz="0" w:space="0" w:color="auto"/>
                                                      </w:divBdr>
                                                    </w:div>
                                                  </w:divsChild>
                                                </w:div>
                                                <w:div w:id="2086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liscorgaran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3f%3f%3f%3f%3f%3f%3f%20%3f%3f%3f%3f\2014\1_%3f%3f%3f_%3f%3f%3f_%3f%3f%3f\%3f%3f%3f%3f%3f%3f%3f%3f%20%3f%3f%3f%3f%3f%3f\%3f%3f%3f%3f%3f%3f%3f%3f%3f%3f%3f%3f%3f%3f\%3f%3f%3f%3f%3f%20%3f%3f%3f%3f%3f%3f%3f%3f%3f%3f%3f%3f%3f%3f%20%3f%3f%202014(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 ?? 2014(2)</Template>
  <TotalTime>0</TotalTime>
  <Pages>14</Pages>
  <Words>4453</Words>
  <Characters>25383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Національній комісії,</dc:title>
  <dc:subject/>
  <dc:creator>Bill Gates</dc:creator>
  <cp:keywords/>
  <dc:description/>
  <cp:lastModifiedBy>Irina</cp:lastModifiedBy>
  <cp:revision>3</cp:revision>
  <dcterms:created xsi:type="dcterms:W3CDTF">2015-03-25T14:16:00Z</dcterms:created>
  <dcterms:modified xsi:type="dcterms:W3CDTF">2015-03-25T14:16:00Z</dcterms:modified>
</cp:coreProperties>
</file>